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hd w:val="clear"/>
        <w:spacing w:after="120" w:line="360" w:lineRule="auto"/>
        <w:rPr>
          <w:rFonts w:hint="eastAsia" w:ascii="黑体" w:hAnsi="黑体" w:eastAsia="黑体" w:cs="黑体"/>
          <w:b/>
          <w:bCs/>
          <w:color w:val="auto"/>
          <w:sz w:val="24"/>
          <w:szCs w:val="24"/>
          <w:highlight w:val="none"/>
        </w:rPr>
      </w:pPr>
    </w:p>
    <w:p>
      <w:pPr>
        <w:pStyle w:val="21"/>
        <w:shd w:val="clear"/>
        <w:spacing w:line="360" w:lineRule="auto"/>
        <w:ind w:left="803" w:hanging="803"/>
        <w:jc w:val="center"/>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南通经济技术开发区总工会聘请法律顾问单位服务采购项目</w:t>
      </w:r>
    </w:p>
    <w:p>
      <w:pPr>
        <w:pStyle w:val="21"/>
        <w:shd w:val="clear"/>
        <w:spacing w:line="360" w:lineRule="auto"/>
        <w:ind w:left="803" w:hanging="803"/>
        <w:jc w:val="center"/>
        <w:rPr>
          <w:rFonts w:hint="eastAsia" w:ascii="黑体" w:hAnsi="黑体" w:eastAsia="黑体" w:cs="黑体"/>
          <w:b/>
          <w:bCs/>
          <w:color w:val="auto"/>
          <w:sz w:val="40"/>
          <w:szCs w:val="40"/>
          <w:highlight w:val="none"/>
        </w:rPr>
      </w:pPr>
      <w:r>
        <w:rPr>
          <w:rFonts w:hint="eastAsia" w:ascii="黑体" w:hAnsi="黑体" w:eastAsia="黑体" w:cs="黑体"/>
          <w:b/>
          <w:bCs/>
          <w:color w:val="auto"/>
          <w:sz w:val="40"/>
          <w:szCs w:val="40"/>
          <w:highlight w:val="none"/>
        </w:rPr>
        <w:t>竞争性磋商文件</w:t>
      </w:r>
    </w:p>
    <w:p>
      <w:pPr>
        <w:pStyle w:val="31"/>
        <w:shd w:val="clear"/>
        <w:ind w:firstLine="0"/>
        <w:rPr>
          <w:rFonts w:hint="eastAsia" w:ascii="黑体" w:hAnsi="黑体" w:eastAsia="黑体" w:cs="黑体"/>
          <w:b/>
          <w:bCs/>
          <w:color w:val="auto"/>
          <w:sz w:val="40"/>
          <w:szCs w:val="40"/>
          <w:highlight w:val="none"/>
        </w:rPr>
      </w:pPr>
      <w:r>
        <w:rPr>
          <w:rFonts w:hint="eastAsia" w:ascii="黑体" w:hAnsi="黑体" w:eastAsia="黑体" w:cs="黑体"/>
          <w:b/>
          <w:bCs/>
          <w:color w:val="auto"/>
          <w:sz w:val="40"/>
          <w:szCs w:val="40"/>
          <w:highlight w:val="none"/>
        </w:rPr>
        <w:t xml:space="preserve"> </w:t>
      </w:r>
    </w:p>
    <w:p>
      <w:pPr>
        <w:pStyle w:val="21"/>
        <w:shd w:val="clear"/>
        <w:spacing w:line="360" w:lineRule="auto"/>
        <w:jc w:val="cente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项目编号：NT</w:t>
      </w:r>
      <w:r>
        <w:rPr>
          <w:rFonts w:hint="eastAsia" w:ascii="黑体" w:hAnsi="黑体" w:eastAsia="黑体" w:cs="黑体"/>
          <w:b/>
          <w:bCs/>
          <w:color w:val="auto"/>
          <w:sz w:val="32"/>
          <w:szCs w:val="32"/>
          <w:highlight w:val="none"/>
          <w:lang w:val="en-US" w:eastAsia="zh-CN"/>
        </w:rPr>
        <w:t>RT</w:t>
      </w:r>
      <w:r>
        <w:rPr>
          <w:rFonts w:hint="eastAsia" w:ascii="黑体" w:hAnsi="黑体" w:eastAsia="黑体" w:cs="黑体"/>
          <w:b/>
          <w:bCs/>
          <w:color w:val="auto"/>
          <w:sz w:val="32"/>
          <w:szCs w:val="32"/>
          <w:highlight w:val="none"/>
        </w:rPr>
        <w:t>CS202</w:t>
      </w:r>
      <w:r>
        <w:rPr>
          <w:rFonts w:hint="eastAsia" w:ascii="黑体" w:hAnsi="黑体" w:eastAsia="黑体" w:cs="黑体"/>
          <w:b/>
          <w:bCs/>
          <w:color w:val="auto"/>
          <w:sz w:val="32"/>
          <w:szCs w:val="32"/>
          <w:highlight w:val="none"/>
          <w:lang w:val="en-US" w:eastAsia="zh-CN"/>
        </w:rPr>
        <w:t>4013</w:t>
      </w:r>
      <w:r>
        <w:rPr>
          <w:rFonts w:hint="eastAsia" w:ascii="黑体" w:hAnsi="黑体" w:eastAsia="黑体" w:cs="黑体"/>
          <w:b/>
          <w:bCs/>
          <w:color w:val="auto"/>
          <w:sz w:val="32"/>
          <w:szCs w:val="32"/>
          <w:highlight w:val="none"/>
        </w:rPr>
        <w:t xml:space="preserve">  </w:t>
      </w:r>
    </w:p>
    <w:p>
      <w:pPr>
        <w:pStyle w:val="21"/>
        <w:widowControl/>
        <w:shd w:val="clear" w:color="auto"/>
        <w:spacing w:before="150" w:after="150" w:line="390" w:lineRule="atLeast"/>
        <w:jc w:val="left"/>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 xml:space="preserve"> </w:t>
      </w:r>
    </w:p>
    <w:p>
      <w:pPr>
        <w:pStyle w:val="31"/>
        <w:shd w:val="clear"/>
        <w:ind w:firstLine="0"/>
        <w:rPr>
          <w:rFonts w:hint="eastAsia" w:ascii="黑体" w:hAnsi="黑体" w:eastAsia="黑体" w:cs="黑体"/>
          <w:b/>
          <w:bCs/>
          <w:color w:val="auto"/>
          <w:sz w:val="36"/>
          <w:szCs w:val="36"/>
          <w:highlight w:val="none"/>
        </w:rPr>
      </w:pPr>
      <w:r>
        <w:rPr>
          <w:rFonts w:hint="eastAsia" w:ascii="黑体" w:hAnsi="黑体" w:eastAsia="黑体" w:cs="黑体"/>
          <w:b/>
          <w:bCs/>
          <w:color w:val="auto"/>
          <w:sz w:val="36"/>
          <w:szCs w:val="36"/>
          <w:highlight w:val="none"/>
        </w:rPr>
        <w:t xml:space="preserve"> </w:t>
      </w:r>
    </w:p>
    <w:p>
      <w:pPr>
        <w:pStyle w:val="31"/>
        <w:shd w:val="clear"/>
        <w:ind w:firstLine="0"/>
        <w:jc w:val="center"/>
        <w:rPr>
          <w:rFonts w:hint="eastAsia" w:ascii="黑体" w:hAnsi="黑体" w:eastAsia="黑体" w:cs="黑体"/>
          <w:b/>
          <w:bCs/>
          <w:color w:val="auto"/>
          <w:sz w:val="40"/>
          <w:szCs w:val="40"/>
          <w:highlight w:val="none"/>
        </w:rPr>
      </w:pPr>
      <w:r>
        <w:rPr>
          <w:rFonts w:hint="eastAsia" w:ascii="黑体" w:hAnsi="黑体" w:eastAsia="黑体" w:cs="黑体"/>
          <w:b/>
          <w:bCs/>
          <w:color w:val="auto"/>
          <w:sz w:val="40"/>
          <w:szCs w:val="40"/>
          <w:highlight w:val="none"/>
        </w:rPr>
        <w:t xml:space="preserve"> </w:t>
      </w:r>
    </w:p>
    <w:p>
      <w:pPr>
        <w:pStyle w:val="31"/>
        <w:shd w:val="clear"/>
        <w:ind w:firstLine="0"/>
        <w:jc w:val="center"/>
        <w:rPr>
          <w:rFonts w:hint="eastAsia" w:ascii="黑体" w:hAnsi="黑体" w:eastAsia="黑体" w:cs="黑体"/>
          <w:b/>
          <w:bCs/>
          <w:color w:val="auto"/>
          <w:sz w:val="40"/>
          <w:szCs w:val="40"/>
          <w:highlight w:val="none"/>
        </w:rPr>
      </w:pPr>
      <w:r>
        <w:rPr>
          <w:rFonts w:hint="eastAsia" w:ascii="黑体" w:hAnsi="黑体" w:eastAsia="黑体" w:cs="黑体"/>
          <w:b/>
          <w:bCs/>
          <w:color w:val="auto"/>
          <w:sz w:val="40"/>
          <w:szCs w:val="40"/>
          <w:highlight w:val="none"/>
        </w:rPr>
        <w:t xml:space="preserve"> </w:t>
      </w:r>
    </w:p>
    <w:p>
      <w:pPr>
        <w:pStyle w:val="31"/>
        <w:shd w:val="clear"/>
        <w:ind w:firstLine="0"/>
        <w:jc w:val="center"/>
        <w:rPr>
          <w:rFonts w:hint="eastAsia" w:ascii="黑体" w:hAnsi="黑体" w:eastAsia="黑体" w:cs="黑体"/>
          <w:b/>
          <w:bCs/>
          <w:color w:val="auto"/>
          <w:sz w:val="40"/>
          <w:szCs w:val="40"/>
          <w:highlight w:val="none"/>
        </w:rPr>
      </w:pPr>
      <w:r>
        <w:rPr>
          <w:rFonts w:hint="eastAsia" w:ascii="黑体" w:hAnsi="黑体" w:eastAsia="黑体" w:cs="黑体"/>
          <w:b/>
          <w:bCs/>
          <w:color w:val="auto"/>
          <w:sz w:val="40"/>
          <w:szCs w:val="40"/>
          <w:highlight w:val="none"/>
        </w:rPr>
        <w:t xml:space="preserve"> </w:t>
      </w:r>
    </w:p>
    <w:p>
      <w:pPr>
        <w:pStyle w:val="31"/>
        <w:shd w:val="clear"/>
        <w:ind w:firstLine="0"/>
        <w:jc w:val="center"/>
        <w:rPr>
          <w:rFonts w:hint="eastAsia" w:ascii="黑体" w:hAnsi="黑体" w:eastAsia="黑体" w:cs="黑体"/>
          <w:b/>
          <w:bCs/>
          <w:color w:val="auto"/>
          <w:sz w:val="40"/>
          <w:szCs w:val="40"/>
          <w:highlight w:val="none"/>
        </w:rPr>
      </w:pPr>
      <w:r>
        <w:rPr>
          <w:rFonts w:hint="eastAsia" w:ascii="黑体" w:hAnsi="黑体" w:eastAsia="黑体" w:cs="黑体"/>
          <w:b/>
          <w:bCs/>
          <w:color w:val="auto"/>
          <w:sz w:val="40"/>
          <w:szCs w:val="40"/>
          <w:highlight w:val="none"/>
        </w:rPr>
        <w:t xml:space="preserve"> </w:t>
      </w:r>
    </w:p>
    <w:p>
      <w:pPr>
        <w:pStyle w:val="31"/>
        <w:shd w:val="clear"/>
        <w:ind w:firstLine="0"/>
        <w:jc w:val="center"/>
        <w:rPr>
          <w:rFonts w:hint="eastAsia" w:ascii="黑体" w:hAnsi="黑体" w:eastAsia="黑体" w:cs="黑体"/>
          <w:b/>
          <w:bCs/>
          <w:color w:val="auto"/>
          <w:sz w:val="40"/>
          <w:szCs w:val="40"/>
          <w:highlight w:val="none"/>
        </w:rPr>
      </w:pPr>
      <w:r>
        <w:rPr>
          <w:rFonts w:hint="eastAsia" w:ascii="黑体" w:hAnsi="黑体" w:eastAsia="黑体" w:cs="黑体"/>
          <w:b/>
          <w:bCs/>
          <w:color w:val="auto"/>
          <w:sz w:val="40"/>
          <w:szCs w:val="40"/>
          <w:highlight w:val="none"/>
        </w:rPr>
        <w:t xml:space="preserve"> </w:t>
      </w:r>
    </w:p>
    <w:p>
      <w:pPr>
        <w:pStyle w:val="31"/>
        <w:shd w:val="clear"/>
        <w:ind w:firstLine="0"/>
        <w:jc w:val="center"/>
        <w:rPr>
          <w:rFonts w:hint="eastAsia" w:ascii="黑体" w:hAnsi="黑体" w:eastAsia="黑体" w:cs="黑体"/>
          <w:b/>
          <w:bCs/>
          <w:color w:val="auto"/>
          <w:sz w:val="40"/>
          <w:szCs w:val="40"/>
          <w:highlight w:val="none"/>
        </w:rPr>
      </w:pPr>
      <w:r>
        <w:rPr>
          <w:rFonts w:hint="eastAsia" w:ascii="黑体" w:hAnsi="黑体" w:eastAsia="黑体" w:cs="黑体"/>
          <w:b/>
          <w:bCs/>
          <w:color w:val="auto"/>
          <w:sz w:val="40"/>
          <w:szCs w:val="40"/>
          <w:highlight w:val="none"/>
        </w:rPr>
        <w:t xml:space="preserve"> </w:t>
      </w:r>
    </w:p>
    <w:p>
      <w:pPr>
        <w:pStyle w:val="31"/>
        <w:shd w:val="clear"/>
        <w:ind w:firstLine="0"/>
        <w:rPr>
          <w:rFonts w:hint="eastAsia" w:ascii="黑体" w:hAnsi="黑体" w:eastAsia="黑体" w:cs="黑体"/>
          <w:b/>
          <w:bCs/>
          <w:color w:val="auto"/>
          <w:sz w:val="32"/>
          <w:szCs w:val="32"/>
          <w:highlight w:val="none"/>
          <w:lang w:eastAsia="zh-CN"/>
        </w:rPr>
      </w:pPr>
      <w:r>
        <w:rPr>
          <w:rFonts w:hint="eastAsia" w:ascii="黑体" w:hAnsi="黑体" w:eastAsia="黑体" w:cs="黑体"/>
          <w:b/>
          <w:bCs/>
          <w:color w:val="auto"/>
          <w:sz w:val="32"/>
          <w:szCs w:val="32"/>
          <w:highlight w:val="none"/>
        </w:rPr>
        <w:t xml:space="preserve">采   购  人 </w:t>
      </w:r>
      <w:r>
        <w:rPr>
          <w:rFonts w:hint="eastAsia" w:ascii="黑体" w:hAnsi="黑体" w:eastAsia="黑体" w:cs="黑体"/>
          <w:b/>
          <w:bCs/>
          <w:color w:val="auto"/>
          <w:sz w:val="32"/>
          <w:szCs w:val="32"/>
          <w:highlight w:val="none"/>
          <w:lang w:eastAsia="zh-CN"/>
        </w:rPr>
        <w:t>：</w:t>
      </w:r>
      <w:r>
        <w:rPr>
          <w:rFonts w:hint="eastAsia" w:ascii="黑体" w:hAnsi="黑体" w:eastAsia="黑体" w:cs="黑体"/>
          <w:b/>
          <w:bCs/>
          <w:color w:val="auto"/>
          <w:sz w:val="32"/>
          <w:szCs w:val="32"/>
          <w:highlight w:val="none"/>
          <w:u w:val="single"/>
          <w:lang w:eastAsia="zh-CN"/>
        </w:rPr>
        <w:t>南通经济技术开发区总工会</w:t>
      </w:r>
    </w:p>
    <w:p>
      <w:pPr>
        <w:pStyle w:val="31"/>
        <w:shd w:val="clear"/>
        <w:ind w:firstLine="0"/>
        <w:rPr>
          <w:rFonts w:hint="eastAsia" w:ascii="黑体" w:hAnsi="黑体" w:eastAsia="黑体" w:cs="黑体"/>
          <w:b/>
          <w:bCs/>
          <w:color w:val="auto"/>
          <w:sz w:val="32"/>
          <w:szCs w:val="32"/>
          <w:highlight w:val="none"/>
          <w:u w:val="single"/>
          <w:lang w:eastAsia="zh-CN"/>
        </w:rPr>
      </w:pPr>
      <w:r>
        <w:rPr>
          <w:rFonts w:hint="eastAsia" w:ascii="黑体" w:hAnsi="黑体" w:eastAsia="黑体" w:cs="黑体"/>
          <w:b/>
          <w:bCs/>
          <w:color w:val="auto"/>
          <w:sz w:val="32"/>
          <w:szCs w:val="32"/>
          <w:highlight w:val="none"/>
        </w:rPr>
        <w:t>招标代理机构</w:t>
      </w:r>
      <w:r>
        <w:rPr>
          <w:rFonts w:hint="eastAsia" w:ascii="黑体" w:hAnsi="黑体" w:eastAsia="黑体" w:cs="黑体"/>
          <w:b/>
          <w:bCs/>
          <w:color w:val="auto"/>
          <w:sz w:val="32"/>
          <w:szCs w:val="32"/>
          <w:highlight w:val="none"/>
          <w:lang w:eastAsia="zh-CN"/>
        </w:rPr>
        <w:t>：</w:t>
      </w:r>
      <w:r>
        <w:rPr>
          <w:rFonts w:hint="eastAsia" w:ascii="黑体" w:hAnsi="黑体" w:eastAsia="黑体" w:cs="黑体"/>
          <w:b/>
          <w:bCs/>
          <w:color w:val="auto"/>
          <w:sz w:val="32"/>
          <w:szCs w:val="32"/>
          <w:highlight w:val="none"/>
          <w:u w:val="single"/>
          <w:lang w:eastAsia="zh-CN"/>
        </w:rPr>
        <w:t>南通润通项目管理有限公司</w:t>
      </w:r>
    </w:p>
    <w:p>
      <w:pPr>
        <w:pStyle w:val="21"/>
        <w:shd w:val="clear"/>
        <w:autoSpaceDE w:val="0"/>
        <w:autoSpaceDN w:val="0"/>
        <w:snapToGrid w:val="0"/>
        <w:spacing w:line="360" w:lineRule="auto"/>
        <w:rPr>
          <w:rFonts w:hint="eastAsia" w:ascii="黑体" w:hAnsi="黑体" w:eastAsia="黑体" w:cs="黑体"/>
          <w:b/>
          <w:bCs/>
          <w:color w:val="auto"/>
          <w:kern w:val="0"/>
          <w:sz w:val="32"/>
          <w:szCs w:val="32"/>
          <w:highlight w:val="none"/>
          <w:u w:val="single"/>
        </w:rPr>
        <w:sectPr>
          <w:footerReference r:id="rId3" w:type="default"/>
          <w:pgSz w:w="11906" w:h="16838"/>
          <w:pgMar w:top="1803" w:right="1440" w:bottom="1803" w:left="1440" w:header="0" w:footer="1440" w:gutter="0"/>
          <w:cols w:space="720" w:num="1"/>
          <w:formProt w:val="0"/>
          <w:docGrid w:type="lines" w:linePitch="312" w:charSpace="43007"/>
        </w:sectPr>
      </w:pPr>
      <w:r>
        <w:rPr>
          <w:rFonts w:hint="eastAsia" w:ascii="黑体" w:hAnsi="黑体" w:eastAsia="黑体" w:cs="黑体"/>
          <w:b/>
          <w:bCs/>
          <w:color w:val="auto"/>
          <w:kern w:val="0"/>
          <w:sz w:val="32"/>
          <w:szCs w:val="32"/>
          <w:highlight w:val="none"/>
        </w:rPr>
        <w:t>日       期 :</w:t>
      </w:r>
      <w:r>
        <w:rPr>
          <w:rFonts w:hint="eastAsia" w:ascii="黑体" w:hAnsi="黑体" w:eastAsia="黑体" w:cs="黑体"/>
          <w:b/>
          <w:bCs/>
          <w:color w:val="auto"/>
          <w:kern w:val="0"/>
          <w:sz w:val="32"/>
          <w:szCs w:val="32"/>
          <w:highlight w:val="none"/>
          <w:u w:val="single"/>
        </w:rPr>
        <w:t xml:space="preserve">    202</w:t>
      </w:r>
      <w:r>
        <w:rPr>
          <w:rFonts w:hint="eastAsia" w:ascii="黑体" w:hAnsi="黑体" w:eastAsia="黑体" w:cs="黑体"/>
          <w:b/>
          <w:bCs/>
          <w:color w:val="auto"/>
          <w:kern w:val="0"/>
          <w:sz w:val="32"/>
          <w:szCs w:val="32"/>
          <w:highlight w:val="none"/>
          <w:u w:val="single"/>
          <w:lang w:val="en-US" w:eastAsia="zh-CN"/>
        </w:rPr>
        <w:t>4</w:t>
      </w:r>
      <w:r>
        <w:rPr>
          <w:rFonts w:hint="eastAsia" w:ascii="黑体" w:hAnsi="黑体" w:eastAsia="黑体" w:cs="黑体"/>
          <w:b/>
          <w:bCs/>
          <w:color w:val="auto"/>
          <w:kern w:val="0"/>
          <w:sz w:val="32"/>
          <w:szCs w:val="32"/>
          <w:highlight w:val="none"/>
          <w:u w:val="single"/>
        </w:rPr>
        <w:t>年</w:t>
      </w:r>
      <w:r>
        <w:rPr>
          <w:rFonts w:hint="eastAsia" w:ascii="黑体" w:hAnsi="黑体" w:eastAsia="黑体" w:cs="黑体"/>
          <w:b/>
          <w:bCs/>
          <w:color w:val="auto"/>
          <w:kern w:val="0"/>
          <w:sz w:val="32"/>
          <w:szCs w:val="32"/>
          <w:highlight w:val="none"/>
          <w:u w:val="single"/>
          <w:lang w:val="en-US" w:eastAsia="zh-CN"/>
        </w:rPr>
        <w:t>10</w:t>
      </w:r>
      <w:r>
        <w:rPr>
          <w:rFonts w:hint="eastAsia" w:ascii="黑体" w:hAnsi="黑体" w:eastAsia="黑体" w:cs="黑体"/>
          <w:b/>
          <w:bCs/>
          <w:color w:val="auto"/>
          <w:kern w:val="0"/>
          <w:sz w:val="32"/>
          <w:szCs w:val="32"/>
          <w:highlight w:val="none"/>
          <w:u w:val="single"/>
        </w:rPr>
        <w:t>月</w:t>
      </w:r>
      <w:r>
        <w:rPr>
          <w:rFonts w:hint="eastAsia" w:ascii="黑体" w:hAnsi="黑体" w:eastAsia="黑体" w:cs="黑体"/>
          <w:b/>
          <w:bCs/>
          <w:color w:val="auto"/>
          <w:kern w:val="0"/>
          <w:sz w:val="32"/>
          <w:szCs w:val="32"/>
          <w:highlight w:val="none"/>
          <w:u w:val="single"/>
          <w:lang w:val="en-US" w:eastAsia="zh-CN"/>
        </w:rPr>
        <w:t>12</w:t>
      </w:r>
      <w:r>
        <w:rPr>
          <w:rFonts w:hint="eastAsia" w:ascii="黑体" w:hAnsi="黑体" w:eastAsia="黑体" w:cs="黑体"/>
          <w:b/>
          <w:bCs/>
          <w:color w:val="auto"/>
          <w:kern w:val="0"/>
          <w:sz w:val="32"/>
          <w:szCs w:val="32"/>
          <w:highlight w:val="none"/>
          <w:u w:val="single"/>
        </w:rPr>
        <w:t xml:space="preserve">日    </w:t>
      </w:r>
    </w:p>
    <w:p>
      <w:pPr>
        <w:pStyle w:val="31"/>
        <w:shd w:val="clear"/>
        <w:ind w:firstLine="0"/>
        <w:jc w:val="both"/>
        <w:rPr>
          <w:rFonts w:hint="eastAsia" w:ascii="黑体" w:hAnsi="黑体" w:eastAsia="黑体" w:cs="黑体"/>
          <w:b/>
          <w:bCs/>
          <w:color w:val="auto"/>
          <w:highlight w:val="none"/>
        </w:rPr>
      </w:pPr>
      <w:r>
        <w:rPr>
          <w:rFonts w:hint="eastAsia" w:ascii="黑体" w:hAnsi="黑体" w:eastAsia="黑体" w:cs="黑体"/>
          <w:b/>
          <w:bCs/>
          <w:color w:val="auto"/>
          <w:highlight w:val="none"/>
        </w:rPr>
        <w:t xml:space="preserve"> </w:t>
      </w:r>
    </w:p>
    <w:p>
      <w:pPr>
        <w:pStyle w:val="21"/>
        <w:widowControl/>
        <w:shd w:val="clear"/>
        <w:spacing w:line="360" w:lineRule="auto"/>
        <w:jc w:val="center"/>
        <w:rPr>
          <w:rFonts w:hint="eastAsia" w:ascii="黑体" w:hAnsi="黑体" w:eastAsia="黑体" w:cs="黑体"/>
          <w:b/>
          <w:bCs/>
          <w:color w:val="auto"/>
          <w:sz w:val="36"/>
          <w:szCs w:val="36"/>
          <w:highlight w:val="none"/>
        </w:rPr>
      </w:pPr>
      <w:r>
        <w:rPr>
          <w:rFonts w:hint="eastAsia" w:ascii="黑体" w:hAnsi="黑体" w:eastAsia="黑体" w:cs="黑体"/>
          <w:b/>
          <w:bCs/>
          <w:color w:val="auto"/>
          <w:sz w:val="36"/>
          <w:szCs w:val="36"/>
          <w:highlight w:val="none"/>
        </w:rPr>
        <w:t>目  录</w:t>
      </w:r>
    </w:p>
    <w:p>
      <w:pPr>
        <w:pStyle w:val="21"/>
        <w:shd w:val="clear"/>
        <w:spacing w:line="360" w:lineRule="auto"/>
        <w:jc w:val="center"/>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 xml:space="preserve"> </w:t>
      </w:r>
    </w:p>
    <w:p>
      <w:pPr>
        <w:pStyle w:val="21"/>
        <w:shd w:val="clear"/>
        <w:spacing w:line="360" w:lineRule="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第一章竞争性磋商采购邀请</w:t>
      </w:r>
    </w:p>
    <w:p>
      <w:pPr>
        <w:pStyle w:val="21"/>
        <w:shd w:val="clear"/>
        <w:spacing w:line="360" w:lineRule="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第二章磋商须知</w:t>
      </w:r>
    </w:p>
    <w:p>
      <w:pPr>
        <w:pStyle w:val="21"/>
        <w:shd w:val="clear"/>
        <w:spacing w:line="360" w:lineRule="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第三章采购合同条款及格式</w:t>
      </w:r>
    </w:p>
    <w:p>
      <w:pPr>
        <w:pStyle w:val="21"/>
        <w:shd w:val="clear"/>
        <w:spacing w:line="360" w:lineRule="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第四章项目工作内容和技术要求</w:t>
      </w:r>
    </w:p>
    <w:p>
      <w:pPr>
        <w:pStyle w:val="21"/>
        <w:shd w:val="clear"/>
        <w:spacing w:line="360" w:lineRule="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第五章资格审查</w:t>
      </w:r>
    </w:p>
    <w:p>
      <w:pPr>
        <w:pStyle w:val="32"/>
        <w:shd w:val="clear"/>
        <w:spacing w:line="360" w:lineRule="auto"/>
        <w:jc w:val="left"/>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第六章评审方法和评审标准</w:t>
      </w:r>
    </w:p>
    <w:p>
      <w:pPr>
        <w:pStyle w:val="28"/>
        <w:shd w:val="clear"/>
        <w:spacing w:before="0" w:after="0" w:line="360" w:lineRule="auto"/>
        <w:jc w:val="left"/>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第七章竞争性供应商响应文件组成</w:t>
      </w:r>
    </w:p>
    <w:p>
      <w:pPr>
        <w:pStyle w:val="21"/>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w:t>
      </w:r>
    </w:p>
    <w:p>
      <w:pPr>
        <w:pStyle w:val="21"/>
        <w:widowControl/>
        <w:shd w:val="clear"/>
        <w:spacing w:line="360" w:lineRule="auto"/>
        <w:jc w:val="left"/>
        <w:rPr>
          <w:rFonts w:hint="eastAsia" w:ascii="黑体" w:hAnsi="黑体" w:eastAsia="黑体" w:cs="黑体"/>
          <w:b/>
          <w:bCs/>
          <w:color w:val="auto"/>
          <w:sz w:val="24"/>
          <w:szCs w:val="24"/>
          <w:highlight w:val="none"/>
        </w:rPr>
      </w:pPr>
      <w:r>
        <w:rPr>
          <w:rFonts w:hint="eastAsia" w:ascii="黑体" w:hAnsi="黑体" w:eastAsia="黑体" w:cs="黑体"/>
          <w:color w:val="auto"/>
          <w:highlight w:val="none"/>
        </w:rPr>
        <w:br w:type="page"/>
      </w:r>
    </w:p>
    <w:p>
      <w:pPr>
        <w:pStyle w:val="27"/>
        <w:shd w:val="clear"/>
        <w:spacing w:line="480" w:lineRule="auto"/>
        <w:jc w:val="center"/>
        <w:rPr>
          <w:rFonts w:hint="eastAsia" w:ascii="黑体" w:hAnsi="黑体" w:eastAsia="黑体" w:cs="黑体"/>
          <w:color w:val="auto"/>
          <w:sz w:val="25"/>
          <w:highlight w:val="none"/>
        </w:rPr>
      </w:pPr>
      <w:r>
        <w:rPr>
          <w:rFonts w:hint="eastAsia" w:ascii="黑体" w:hAnsi="黑体" w:eastAsia="黑体" w:cs="黑体"/>
          <w:color w:val="auto"/>
          <w:sz w:val="48"/>
          <w:highlight w:val="none"/>
        </w:rPr>
        <w:t>竞争性磋商文件备案表</w:t>
      </w:r>
    </w:p>
    <w:tbl>
      <w:tblPr>
        <w:tblStyle w:val="15"/>
        <w:tblW w:w="8700" w:type="dxa"/>
        <w:jc w:val="center"/>
        <w:tblLayout w:type="fixed"/>
        <w:tblCellMar>
          <w:top w:w="0" w:type="dxa"/>
          <w:left w:w="5" w:type="dxa"/>
          <w:bottom w:w="0" w:type="dxa"/>
          <w:right w:w="5" w:type="dxa"/>
        </w:tblCellMar>
      </w:tblPr>
      <w:tblGrid>
        <w:gridCol w:w="8700"/>
      </w:tblGrid>
      <w:tr>
        <w:tblPrEx>
          <w:tblCellMar>
            <w:top w:w="0" w:type="dxa"/>
            <w:left w:w="5" w:type="dxa"/>
            <w:bottom w:w="0" w:type="dxa"/>
            <w:right w:w="5" w:type="dxa"/>
          </w:tblCellMar>
        </w:tblPrEx>
        <w:trPr>
          <w:trHeight w:val="2857" w:hRule="atLeast"/>
          <w:jc w:val="center"/>
        </w:trPr>
        <w:tc>
          <w:tcPr>
            <w:tcW w:w="8700" w:type="dxa"/>
            <w:tcBorders>
              <w:top w:val="single" w:color="000000" w:sz="4" w:space="0"/>
              <w:left w:val="single" w:color="000000" w:sz="4" w:space="0"/>
              <w:bottom w:val="single" w:color="000000" w:sz="4" w:space="0"/>
              <w:right w:val="single" w:color="000000" w:sz="4" w:space="0"/>
            </w:tcBorders>
          </w:tcPr>
          <w:p>
            <w:pPr>
              <w:pStyle w:val="21"/>
              <w:shd w:val="clear"/>
              <w:spacing w:line="360" w:lineRule="auto"/>
              <w:rPr>
                <w:rFonts w:hint="eastAsia" w:ascii="黑体" w:hAnsi="黑体" w:eastAsia="黑体" w:cs="黑体"/>
                <w:color w:val="auto"/>
                <w:sz w:val="24"/>
                <w:highlight w:val="none"/>
              </w:rPr>
            </w:pPr>
          </w:p>
          <w:p>
            <w:pPr>
              <w:pStyle w:val="21"/>
              <w:shd w:val="clear"/>
              <w:tabs>
                <w:tab w:val="left" w:pos="5070"/>
              </w:tabs>
              <w:spacing w:line="360" w:lineRule="auto"/>
              <w:ind w:firstLine="4800" w:firstLineChars="2000"/>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rPr>
              <w:t>编制人：</w:t>
            </w:r>
            <w:r>
              <w:rPr>
                <w:rFonts w:hint="eastAsia" w:ascii="黑体" w:hAnsi="黑体" w:eastAsia="黑体" w:cs="黑体"/>
                <w:color w:val="auto"/>
                <w:sz w:val="24"/>
                <w:highlight w:val="none"/>
                <w:lang w:val="en-US" w:eastAsia="zh-CN"/>
              </w:rPr>
              <w:t>赵斌</w:t>
            </w:r>
          </w:p>
          <w:p>
            <w:pPr>
              <w:pStyle w:val="38"/>
              <w:shd w:val="clear"/>
              <w:rPr>
                <w:rFonts w:hint="eastAsia" w:ascii="黑体" w:hAnsi="黑体" w:eastAsia="黑体" w:cs="黑体"/>
                <w:color w:val="auto"/>
                <w:highlight w:val="none"/>
              </w:rPr>
            </w:pPr>
          </w:p>
          <w:p>
            <w:pPr>
              <w:pStyle w:val="38"/>
              <w:shd w:val="clear"/>
              <w:rPr>
                <w:rFonts w:hint="eastAsia" w:ascii="黑体" w:hAnsi="黑体" w:eastAsia="黑体" w:cs="黑体"/>
                <w:color w:val="auto"/>
                <w:highlight w:val="none"/>
              </w:rPr>
            </w:pPr>
          </w:p>
          <w:p>
            <w:pPr>
              <w:pStyle w:val="21"/>
              <w:shd w:val="clear"/>
              <w:tabs>
                <w:tab w:val="left" w:pos="5070"/>
              </w:tabs>
              <w:spacing w:line="360" w:lineRule="auto"/>
              <w:rPr>
                <w:rFonts w:hint="eastAsia" w:ascii="黑体" w:hAnsi="黑体" w:eastAsia="黑体" w:cs="黑体"/>
                <w:color w:val="auto"/>
                <w:sz w:val="24"/>
                <w:highlight w:val="none"/>
              </w:rPr>
            </w:pPr>
            <w:r>
              <w:rPr>
                <w:rFonts w:hint="eastAsia" w:ascii="黑体" w:hAnsi="黑体" w:eastAsia="黑体" w:cs="黑体"/>
                <w:color w:val="auto"/>
                <w:sz w:val="24"/>
                <w:highlight w:val="none"/>
              </w:rPr>
              <w:t xml:space="preserve">                                      日  期： 202</w:t>
            </w:r>
            <w:r>
              <w:rPr>
                <w:rFonts w:hint="eastAsia" w:ascii="黑体" w:hAnsi="黑体" w:eastAsia="黑体" w:cs="黑体"/>
                <w:color w:val="auto"/>
                <w:sz w:val="24"/>
                <w:highlight w:val="none"/>
                <w:lang w:val="en-US" w:eastAsia="zh-CN"/>
              </w:rPr>
              <w:t>4</w:t>
            </w:r>
            <w:r>
              <w:rPr>
                <w:rFonts w:hint="eastAsia" w:ascii="黑体" w:hAnsi="黑体" w:eastAsia="黑体" w:cs="黑体"/>
                <w:color w:val="auto"/>
                <w:sz w:val="24"/>
                <w:highlight w:val="none"/>
              </w:rPr>
              <w:t>年</w:t>
            </w:r>
            <w:r>
              <w:rPr>
                <w:rFonts w:hint="eastAsia" w:ascii="黑体" w:hAnsi="黑体" w:eastAsia="黑体" w:cs="黑体"/>
                <w:color w:val="auto"/>
                <w:sz w:val="24"/>
                <w:highlight w:val="none"/>
                <w:lang w:val="en-US" w:eastAsia="zh-CN"/>
              </w:rPr>
              <w:t>10</w:t>
            </w:r>
            <w:r>
              <w:rPr>
                <w:rFonts w:hint="eastAsia" w:ascii="黑体" w:hAnsi="黑体" w:eastAsia="黑体" w:cs="黑体"/>
                <w:color w:val="auto"/>
                <w:sz w:val="24"/>
                <w:highlight w:val="none"/>
              </w:rPr>
              <w:t>月</w:t>
            </w:r>
            <w:r>
              <w:rPr>
                <w:rFonts w:hint="eastAsia" w:ascii="黑体" w:hAnsi="黑体" w:eastAsia="黑体" w:cs="黑体"/>
                <w:color w:val="auto"/>
                <w:sz w:val="24"/>
                <w:highlight w:val="none"/>
                <w:lang w:val="en-US" w:eastAsia="zh-CN"/>
              </w:rPr>
              <w:t>12</w:t>
            </w:r>
            <w:r>
              <w:rPr>
                <w:rFonts w:hint="eastAsia" w:ascii="黑体" w:hAnsi="黑体" w:eastAsia="黑体" w:cs="黑体"/>
                <w:color w:val="auto"/>
                <w:sz w:val="24"/>
                <w:highlight w:val="none"/>
              </w:rPr>
              <w:t>日</w:t>
            </w:r>
          </w:p>
        </w:tc>
      </w:tr>
      <w:tr>
        <w:tblPrEx>
          <w:tblCellMar>
            <w:top w:w="0" w:type="dxa"/>
            <w:left w:w="5" w:type="dxa"/>
            <w:bottom w:w="0" w:type="dxa"/>
            <w:right w:w="5" w:type="dxa"/>
          </w:tblCellMar>
        </w:tblPrEx>
        <w:trPr>
          <w:trHeight w:val="4200" w:hRule="atLeast"/>
          <w:jc w:val="center"/>
        </w:trPr>
        <w:tc>
          <w:tcPr>
            <w:tcW w:w="8700" w:type="dxa"/>
            <w:tcBorders>
              <w:top w:val="single" w:color="000000" w:sz="4" w:space="0"/>
              <w:left w:val="single" w:color="000000" w:sz="4" w:space="0"/>
              <w:bottom w:val="single" w:color="000000" w:sz="4" w:space="0"/>
              <w:right w:val="single" w:color="000000" w:sz="4" w:space="0"/>
            </w:tcBorders>
          </w:tcPr>
          <w:p>
            <w:pPr>
              <w:pStyle w:val="21"/>
              <w:shd w:val="clear"/>
              <w:spacing w:line="360" w:lineRule="auto"/>
              <w:rPr>
                <w:rFonts w:hint="eastAsia" w:ascii="黑体" w:hAnsi="黑体" w:eastAsia="黑体" w:cs="黑体"/>
                <w:color w:val="auto"/>
                <w:sz w:val="24"/>
                <w:highlight w:val="none"/>
              </w:rPr>
            </w:pPr>
          </w:p>
          <w:p>
            <w:pPr>
              <w:pStyle w:val="21"/>
              <w:shd w:val="clear"/>
              <w:spacing w:line="360" w:lineRule="auto"/>
              <w:rPr>
                <w:rFonts w:hint="eastAsia" w:ascii="黑体" w:hAnsi="黑体" w:eastAsia="黑体" w:cs="黑体"/>
                <w:color w:val="auto"/>
                <w:sz w:val="24"/>
                <w:highlight w:val="none"/>
              </w:rPr>
            </w:pPr>
          </w:p>
          <w:p>
            <w:pPr>
              <w:pStyle w:val="22"/>
              <w:shd w:val="clear"/>
              <w:rPr>
                <w:rFonts w:hint="eastAsia" w:ascii="黑体" w:hAnsi="黑体" w:eastAsia="黑体" w:cs="黑体"/>
                <w:color w:val="auto"/>
                <w:sz w:val="24"/>
                <w:highlight w:val="none"/>
              </w:rPr>
            </w:pPr>
          </w:p>
          <w:p>
            <w:pPr>
              <w:pStyle w:val="21"/>
              <w:shd w:val="clear"/>
              <w:rPr>
                <w:rFonts w:hint="eastAsia" w:ascii="黑体" w:hAnsi="黑体" w:eastAsia="黑体" w:cs="黑体"/>
                <w:color w:val="auto"/>
                <w:highlight w:val="none"/>
              </w:rPr>
            </w:pPr>
          </w:p>
          <w:p>
            <w:pPr>
              <w:pStyle w:val="21"/>
              <w:shd w:val="clear"/>
              <w:spacing w:line="360" w:lineRule="auto"/>
              <w:ind w:firstLine="1680" w:firstLineChars="700"/>
              <w:rPr>
                <w:rFonts w:hint="eastAsia" w:ascii="黑体" w:hAnsi="黑体" w:eastAsia="黑体" w:cs="黑体"/>
                <w:color w:val="auto"/>
                <w:sz w:val="24"/>
                <w:highlight w:val="none"/>
              </w:rPr>
            </w:pPr>
            <w:r>
              <w:rPr>
                <w:rFonts w:hint="eastAsia" w:ascii="黑体" w:hAnsi="黑体" w:eastAsia="黑体" w:cs="黑体"/>
                <w:color w:val="auto"/>
                <w:sz w:val="24"/>
                <w:highlight w:val="none"/>
              </w:rPr>
              <w:t>采购人</w:t>
            </w:r>
            <w:r>
              <w:rPr>
                <w:rFonts w:hint="eastAsia" w:ascii="黑体" w:hAnsi="黑体" w:eastAsia="黑体" w:cs="黑体"/>
                <w:color w:val="auto"/>
                <w:sz w:val="24"/>
                <w:highlight w:val="none"/>
                <w:lang w:eastAsia="zh-CN"/>
              </w:rPr>
              <w:t>（</w:t>
            </w:r>
            <w:r>
              <w:rPr>
                <w:rFonts w:hint="eastAsia" w:ascii="黑体" w:hAnsi="黑体" w:eastAsia="黑体" w:cs="黑体"/>
                <w:color w:val="auto"/>
                <w:sz w:val="24"/>
                <w:highlight w:val="none"/>
              </w:rPr>
              <w:t>盖章</w:t>
            </w:r>
            <w:r>
              <w:rPr>
                <w:rFonts w:hint="eastAsia" w:ascii="黑体" w:hAnsi="黑体" w:eastAsia="黑体" w:cs="黑体"/>
                <w:color w:val="auto"/>
                <w:sz w:val="24"/>
                <w:highlight w:val="none"/>
                <w:lang w:eastAsia="zh-CN"/>
              </w:rPr>
              <w:t>）</w:t>
            </w:r>
            <w:r>
              <w:rPr>
                <w:rFonts w:hint="eastAsia" w:ascii="黑体" w:hAnsi="黑体" w:eastAsia="黑体" w:cs="黑体"/>
                <w:color w:val="auto"/>
                <w:sz w:val="24"/>
                <w:highlight w:val="none"/>
              </w:rPr>
              <w:t xml:space="preserve">             代表人</w:t>
            </w:r>
            <w:r>
              <w:rPr>
                <w:rFonts w:hint="eastAsia" w:ascii="黑体" w:hAnsi="黑体" w:eastAsia="黑体" w:cs="黑体"/>
                <w:color w:val="auto"/>
                <w:sz w:val="24"/>
                <w:highlight w:val="none"/>
                <w:lang w:eastAsia="zh-CN"/>
              </w:rPr>
              <w:t>（</w:t>
            </w:r>
            <w:r>
              <w:rPr>
                <w:rFonts w:hint="eastAsia" w:ascii="黑体" w:hAnsi="黑体" w:eastAsia="黑体" w:cs="黑体"/>
                <w:color w:val="auto"/>
                <w:sz w:val="24"/>
                <w:highlight w:val="none"/>
              </w:rPr>
              <w:t>签字</w:t>
            </w:r>
            <w:r>
              <w:rPr>
                <w:rFonts w:hint="eastAsia" w:ascii="黑体" w:hAnsi="黑体" w:eastAsia="黑体" w:cs="黑体"/>
                <w:color w:val="auto"/>
                <w:sz w:val="24"/>
                <w:highlight w:val="none"/>
                <w:lang w:eastAsia="zh-CN"/>
              </w:rPr>
              <w:t>）</w:t>
            </w:r>
          </w:p>
          <w:p>
            <w:pPr>
              <w:pStyle w:val="21"/>
              <w:shd w:val="clear"/>
              <w:spacing w:line="360" w:lineRule="auto"/>
              <w:rPr>
                <w:rFonts w:hint="eastAsia" w:ascii="黑体" w:hAnsi="黑体" w:eastAsia="黑体" w:cs="黑体"/>
                <w:color w:val="auto"/>
                <w:sz w:val="24"/>
                <w:highlight w:val="none"/>
              </w:rPr>
            </w:pPr>
          </w:p>
          <w:p>
            <w:pPr>
              <w:pStyle w:val="38"/>
              <w:shd w:val="clear"/>
              <w:ind w:firstLine="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 xml:space="preserve">                           日  期：202</w:t>
            </w:r>
            <w:r>
              <w:rPr>
                <w:rFonts w:hint="eastAsia" w:ascii="黑体" w:hAnsi="黑体" w:eastAsia="黑体" w:cs="黑体"/>
                <w:color w:val="auto"/>
                <w:sz w:val="24"/>
                <w:highlight w:val="none"/>
                <w:lang w:val="en-US" w:eastAsia="zh-CN"/>
              </w:rPr>
              <w:t>4</w:t>
            </w:r>
            <w:r>
              <w:rPr>
                <w:rFonts w:hint="eastAsia" w:ascii="黑体" w:hAnsi="黑体" w:eastAsia="黑体" w:cs="黑体"/>
                <w:color w:val="auto"/>
                <w:sz w:val="24"/>
                <w:highlight w:val="none"/>
              </w:rPr>
              <w:t>年</w:t>
            </w:r>
            <w:r>
              <w:rPr>
                <w:rFonts w:hint="eastAsia" w:ascii="黑体" w:hAnsi="黑体" w:eastAsia="黑体" w:cs="黑体"/>
                <w:color w:val="auto"/>
                <w:sz w:val="24"/>
                <w:highlight w:val="none"/>
                <w:lang w:val="en-US" w:eastAsia="zh-CN"/>
              </w:rPr>
              <w:t>10</w:t>
            </w:r>
            <w:r>
              <w:rPr>
                <w:rFonts w:hint="eastAsia" w:ascii="黑体" w:hAnsi="黑体" w:eastAsia="黑体" w:cs="黑体"/>
                <w:color w:val="auto"/>
                <w:sz w:val="24"/>
                <w:highlight w:val="none"/>
              </w:rPr>
              <w:t xml:space="preserve"> 月</w:t>
            </w:r>
            <w:r>
              <w:rPr>
                <w:rFonts w:hint="eastAsia" w:ascii="黑体" w:hAnsi="黑体" w:eastAsia="黑体" w:cs="黑体"/>
                <w:color w:val="auto"/>
                <w:sz w:val="24"/>
                <w:highlight w:val="none"/>
                <w:lang w:val="en-US" w:eastAsia="zh-CN"/>
              </w:rPr>
              <w:t>12</w:t>
            </w:r>
            <w:r>
              <w:rPr>
                <w:rFonts w:hint="eastAsia" w:ascii="黑体" w:hAnsi="黑体" w:eastAsia="黑体" w:cs="黑体"/>
                <w:color w:val="auto"/>
                <w:sz w:val="24"/>
                <w:highlight w:val="none"/>
              </w:rPr>
              <w:t>日</w:t>
            </w:r>
          </w:p>
          <w:p>
            <w:pPr>
              <w:pStyle w:val="21"/>
              <w:shd w:val="clear"/>
              <w:spacing w:line="360" w:lineRule="auto"/>
              <w:rPr>
                <w:rFonts w:hint="eastAsia" w:ascii="黑体" w:hAnsi="黑体" w:eastAsia="黑体" w:cs="黑体"/>
                <w:color w:val="auto"/>
                <w:sz w:val="24"/>
                <w:highlight w:val="none"/>
              </w:rPr>
            </w:pPr>
          </w:p>
        </w:tc>
      </w:tr>
      <w:tr>
        <w:tblPrEx>
          <w:tblCellMar>
            <w:top w:w="0" w:type="dxa"/>
            <w:left w:w="5" w:type="dxa"/>
            <w:bottom w:w="0" w:type="dxa"/>
            <w:right w:w="5" w:type="dxa"/>
          </w:tblCellMar>
        </w:tblPrEx>
        <w:trPr>
          <w:trHeight w:val="3224" w:hRule="atLeast"/>
          <w:jc w:val="center"/>
        </w:trPr>
        <w:tc>
          <w:tcPr>
            <w:tcW w:w="8700" w:type="dxa"/>
            <w:tcBorders>
              <w:top w:val="single" w:color="000000" w:sz="4" w:space="0"/>
              <w:left w:val="single" w:color="000000" w:sz="4" w:space="0"/>
              <w:bottom w:val="single" w:color="000000" w:sz="4" w:space="0"/>
              <w:right w:val="single" w:color="000000" w:sz="4" w:space="0"/>
            </w:tcBorders>
          </w:tcPr>
          <w:p>
            <w:pPr>
              <w:pStyle w:val="21"/>
              <w:shd w:val="clear"/>
              <w:spacing w:line="360" w:lineRule="auto"/>
              <w:rPr>
                <w:rFonts w:hint="eastAsia" w:ascii="黑体" w:hAnsi="黑体" w:eastAsia="黑体" w:cs="黑体"/>
                <w:color w:val="auto"/>
                <w:sz w:val="24"/>
                <w:highlight w:val="none"/>
              </w:rPr>
            </w:pPr>
          </w:p>
          <w:p>
            <w:pPr>
              <w:pStyle w:val="22"/>
              <w:shd w:val="clear"/>
              <w:rPr>
                <w:rFonts w:hint="eastAsia" w:ascii="黑体" w:hAnsi="黑体" w:eastAsia="黑体" w:cs="黑体"/>
                <w:color w:val="auto"/>
                <w:sz w:val="24"/>
                <w:highlight w:val="none"/>
              </w:rPr>
            </w:pPr>
          </w:p>
          <w:p>
            <w:pPr>
              <w:pStyle w:val="21"/>
              <w:shd w:val="clear"/>
              <w:rPr>
                <w:rFonts w:hint="eastAsia" w:ascii="黑体" w:hAnsi="黑体" w:eastAsia="黑体" w:cs="黑体"/>
                <w:color w:val="auto"/>
                <w:sz w:val="24"/>
                <w:highlight w:val="none"/>
              </w:rPr>
            </w:pPr>
          </w:p>
          <w:p>
            <w:pPr>
              <w:pStyle w:val="22"/>
              <w:shd w:val="clear"/>
              <w:rPr>
                <w:rFonts w:hint="eastAsia" w:ascii="黑体" w:hAnsi="黑体" w:eastAsia="黑体" w:cs="黑体"/>
                <w:color w:val="auto"/>
                <w:highlight w:val="none"/>
              </w:rPr>
            </w:pPr>
          </w:p>
          <w:p>
            <w:pPr>
              <w:pStyle w:val="21"/>
              <w:shd w:val="clear"/>
              <w:rPr>
                <w:rFonts w:hint="eastAsia" w:ascii="黑体" w:hAnsi="黑体" w:eastAsia="黑体" w:cs="黑体"/>
                <w:color w:val="auto"/>
                <w:highlight w:val="none"/>
              </w:rPr>
            </w:pPr>
          </w:p>
          <w:p>
            <w:pPr>
              <w:pStyle w:val="21"/>
              <w:shd w:val="clear"/>
              <w:spacing w:line="360" w:lineRule="auto"/>
              <w:ind w:firstLine="1680" w:firstLineChars="700"/>
              <w:rPr>
                <w:rFonts w:hint="eastAsia" w:ascii="黑体" w:hAnsi="黑体" w:eastAsia="黑体" w:cs="黑体"/>
                <w:color w:val="auto"/>
                <w:sz w:val="24"/>
                <w:highlight w:val="none"/>
              </w:rPr>
            </w:pPr>
            <w:r>
              <w:rPr>
                <w:rFonts w:hint="eastAsia" w:ascii="黑体" w:hAnsi="黑体" w:eastAsia="黑体" w:cs="黑体"/>
                <w:color w:val="auto"/>
                <w:sz w:val="24"/>
                <w:highlight w:val="none"/>
              </w:rPr>
              <w:t>招标代理机构</w:t>
            </w:r>
            <w:r>
              <w:rPr>
                <w:rFonts w:hint="eastAsia" w:ascii="黑体" w:hAnsi="黑体" w:eastAsia="黑体" w:cs="黑体"/>
                <w:color w:val="auto"/>
                <w:sz w:val="24"/>
                <w:highlight w:val="none"/>
                <w:lang w:eastAsia="zh-CN"/>
              </w:rPr>
              <w:t>（</w:t>
            </w:r>
            <w:r>
              <w:rPr>
                <w:rFonts w:hint="eastAsia" w:ascii="黑体" w:hAnsi="黑体" w:eastAsia="黑体" w:cs="黑体"/>
                <w:color w:val="auto"/>
                <w:sz w:val="24"/>
                <w:highlight w:val="none"/>
              </w:rPr>
              <w:t>盖章</w:t>
            </w:r>
            <w:r>
              <w:rPr>
                <w:rFonts w:hint="eastAsia" w:ascii="黑体" w:hAnsi="黑体" w:eastAsia="黑体" w:cs="黑体"/>
                <w:color w:val="auto"/>
                <w:sz w:val="24"/>
                <w:highlight w:val="none"/>
                <w:lang w:eastAsia="zh-CN"/>
              </w:rPr>
              <w:t>）</w:t>
            </w:r>
            <w:r>
              <w:rPr>
                <w:rFonts w:hint="eastAsia" w:ascii="黑体" w:hAnsi="黑体" w:eastAsia="黑体" w:cs="黑体"/>
                <w:color w:val="auto"/>
                <w:sz w:val="24"/>
                <w:highlight w:val="none"/>
              </w:rPr>
              <w:t xml:space="preserve">        法定代表人</w:t>
            </w:r>
            <w:r>
              <w:rPr>
                <w:rFonts w:hint="eastAsia" w:ascii="黑体" w:hAnsi="黑体" w:eastAsia="黑体" w:cs="黑体"/>
                <w:color w:val="auto"/>
                <w:sz w:val="24"/>
                <w:highlight w:val="none"/>
                <w:lang w:eastAsia="zh-CN"/>
              </w:rPr>
              <w:t>（</w:t>
            </w:r>
            <w:r>
              <w:rPr>
                <w:rFonts w:hint="eastAsia" w:ascii="黑体" w:hAnsi="黑体" w:eastAsia="黑体" w:cs="黑体"/>
                <w:color w:val="auto"/>
                <w:sz w:val="24"/>
                <w:highlight w:val="none"/>
              </w:rPr>
              <w:t>签字</w:t>
            </w:r>
            <w:r>
              <w:rPr>
                <w:rFonts w:hint="eastAsia" w:ascii="黑体" w:hAnsi="黑体" w:eastAsia="黑体" w:cs="黑体"/>
                <w:color w:val="auto"/>
                <w:sz w:val="24"/>
                <w:highlight w:val="none"/>
                <w:lang w:eastAsia="zh-CN"/>
              </w:rPr>
              <w:t>）</w:t>
            </w:r>
          </w:p>
          <w:p>
            <w:pPr>
              <w:pStyle w:val="38"/>
              <w:shd w:val="clear"/>
              <w:rPr>
                <w:rFonts w:hint="eastAsia" w:ascii="黑体" w:hAnsi="黑体" w:eastAsia="黑体" w:cs="黑体"/>
                <w:color w:val="auto"/>
                <w:sz w:val="24"/>
                <w:highlight w:val="none"/>
              </w:rPr>
            </w:pPr>
          </w:p>
          <w:p>
            <w:pPr>
              <w:pStyle w:val="38"/>
              <w:shd w:val="clear"/>
              <w:ind w:firstLine="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 xml:space="preserve">                        日期：202</w:t>
            </w:r>
            <w:r>
              <w:rPr>
                <w:rFonts w:hint="eastAsia" w:ascii="黑体" w:hAnsi="黑体" w:eastAsia="黑体" w:cs="黑体"/>
                <w:color w:val="auto"/>
                <w:sz w:val="24"/>
                <w:highlight w:val="none"/>
                <w:lang w:val="en-US" w:eastAsia="zh-CN"/>
              </w:rPr>
              <w:t>4</w:t>
            </w:r>
            <w:r>
              <w:rPr>
                <w:rFonts w:hint="eastAsia" w:ascii="黑体" w:hAnsi="黑体" w:eastAsia="黑体" w:cs="黑体"/>
                <w:color w:val="auto"/>
                <w:sz w:val="24"/>
                <w:highlight w:val="none"/>
              </w:rPr>
              <w:t>年</w:t>
            </w:r>
            <w:r>
              <w:rPr>
                <w:rFonts w:hint="eastAsia" w:ascii="黑体" w:hAnsi="黑体" w:eastAsia="黑体" w:cs="黑体"/>
                <w:color w:val="auto"/>
                <w:sz w:val="24"/>
                <w:highlight w:val="none"/>
                <w:lang w:val="en-US" w:eastAsia="zh-CN"/>
              </w:rPr>
              <w:t>10</w:t>
            </w:r>
            <w:r>
              <w:rPr>
                <w:rFonts w:hint="eastAsia" w:ascii="黑体" w:hAnsi="黑体" w:eastAsia="黑体" w:cs="黑体"/>
                <w:color w:val="auto"/>
                <w:sz w:val="24"/>
                <w:highlight w:val="none"/>
              </w:rPr>
              <w:t>月</w:t>
            </w:r>
            <w:r>
              <w:rPr>
                <w:rFonts w:hint="eastAsia" w:ascii="黑体" w:hAnsi="黑体" w:eastAsia="黑体" w:cs="黑体"/>
                <w:color w:val="auto"/>
                <w:sz w:val="24"/>
                <w:highlight w:val="none"/>
                <w:lang w:val="en-US" w:eastAsia="zh-CN"/>
              </w:rPr>
              <w:t>12</w:t>
            </w:r>
            <w:r>
              <w:rPr>
                <w:rFonts w:hint="eastAsia" w:ascii="黑体" w:hAnsi="黑体" w:eastAsia="黑体" w:cs="黑体"/>
                <w:color w:val="auto"/>
                <w:sz w:val="24"/>
                <w:highlight w:val="none"/>
              </w:rPr>
              <w:t>日</w:t>
            </w:r>
          </w:p>
          <w:p>
            <w:pPr>
              <w:pStyle w:val="38"/>
              <w:shd w:val="clear"/>
              <w:ind w:firstLine="0"/>
              <w:jc w:val="center"/>
              <w:rPr>
                <w:rFonts w:hint="eastAsia" w:ascii="黑体" w:hAnsi="黑体" w:eastAsia="黑体" w:cs="黑体"/>
                <w:color w:val="auto"/>
                <w:sz w:val="24"/>
                <w:highlight w:val="none"/>
              </w:rPr>
            </w:pPr>
          </w:p>
          <w:p>
            <w:pPr>
              <w:pStyle w:val="38"/>
              <w:shd w:val="clear"/>
              <w:ind w:firstLine="0"/>
              <w:jc w:val="center"/>
              <w:rPr>
                <w:rFonts w:hint="eastAsia" w:ascii="黑体" w:hAnsi="黑体" w:eastAsia="黑体" w:cs="黑体"/>
                <w:color w:val="auto"/>
                <w:sz w:val="24"/>
                <w:highlight w:val="none"/>
              </w:rPr>
            </w:pPr>
          </w:p>
          <w:p>
            <w:pPr>
              <w:pStyle w:val="38"/>
              <w:shd w:val="clear"/>
              <w:ind w:firstLine="0"/>
              <w:jc w:val="center"/>
              <w:rPr>
                <w:rFonts w:hint="eastAsia" w:ascii="黑体" w:hAnsi="黑体" w:eastAsia="黑体" w:cs="黑体"/>
                <w:color w:val="auto"/>
                <w:sz w:val="24"/>
                <w:highlight w:val="none"/>
              </w:rPr>
            </w:pPr>
          </w:p>
          <w:p>
            <w:pPr>
              <w:pStyle w:val="38"/>
              <w:shd w:val="clear"/>
              <w:ind w:firstLine="0"/>
              <w:jc w:val="center"/>
              <w:rPr>
                <w:rFonts w:hint="eastAsia" w:ascii="黑体" w:hAnsi="黑体" w:eastAsia="黑体" w:cs="黑体"/>
                <w:color w:val="auto"/>
                <w:sz w:val="24"/>
                <w:highlight w:val="none"/>
              </w:rPr>
            </w:pPr>
          </w:p>
        </w:tc>
      </w:tr>
    </w:tbl>
    <w:p>
      <w:pPr>
        <w:pStyle w:val="21"/>
        <w:shd w:val="clear"/>
        <w:spacing w:line="360" w:lineRule="auto"/>
        <w:ind w:firstLine="2249" w:firstLineChars="700"/>
        <w:jc w:val="both"/>
        <w:rPr>
          <w:rFonts w:hint="eastAsia" w:ascii="黑体" w:hAnsi="黑体" w:eastAsia="黑体" w:cs="黑体"/>
          <w:color w:val="auto"/>
          <w:sz w:val="32"/>
          <w:szCs w:val="32"/>
          <w:highlight w:val="none"/>
        </w:rPr>
      </w:pPr>
      <w:r>
        <w:rPr>
          <w:rFonts w:hint="eastAsia" w:ascii="黑体" w:hAnsi="黑体" w:eastAsia="黑体" w:cs="黑体"/>
          <w:b/>
          <w:bCs/>
          <w:color w:val="auto"/>
          <w:sz w:val="32"/>
          <w:szCs w:val="32"/>
          <w:highlight w:val="none"/>
        </w:rPr>
        <w:t>第一章</w:t>
      </w:r>
      <w:r>
        <w:rPr>
          <w:rFonts w:hint="eastAsia" w:ascii="黑体" w:hAnsi="黑体" w:eastAsia="黑体" w:cs="黑体"/>
          <w:b/>
          <w:bCs/>
          <w:color w:val="auto"/>
          <w:sz w:val="32"/>
          <w:szCs w:val="32"/>
          <w:highlight w:val="none"/>
          <w:lang w:val="en-US" w:eastAsia="zh-CN"/>
        </w:rPr>
        <w:t xml:space="preserve">  </w:t>
      </w:r>
      <w:r>
        <w:rPr>
          <w:rFonts w:hint="eastAsia" w:ascii="黑体" w:hAnsi="黑体" w:eastAsia="黑体" w:cs="黑体"/>
          <w:b/>
          <w:bCs/>
          <w:color w:val="auto"/>
          <w:sz w:val="32"/>
          <w:szCs w:val="32"/>
          <w:highlight w:val="none"/>
        </w:rPr>
        <w:t>竞争性磋商公告</w:t>
      </w:r>
    </w:p>
    <w:p>
      <w:pPr>
        <w:pStyle w:val="21"/>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w:t>
      </w:r>
    </w:p>
    <w:tbl>
      <w:tblPr>
        <w:tblStyle w:val="15"/>
        <w:tblW w:w="8522" w:type="dxa"/>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1791" w:hRule="atLeast"/>
        </w:trPr>
        <w:tc>
          <w:tcPr>
            <w:tcW w:w="8522" w:type="dxa"/>
          </w:tcPr>
          <w:p>
            <w:pPr>
              <w:pStyle w:val="21"/>
              <w:shd w:val="clear"/>
              <w:spacing w:line="440" w:lineRule="exac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项目概况</w:t>
            </w:r>
          </w:p>
          <w:p>
            <w:pPr>
              <w:pStyle w:val="21"/>
              <w:shd w:val="clear"/>
              <w:spacing w:line="440" w:lineRule="exact"/>
              <w:ind w:firstLine="482" w:firstLineChars="200"/>
              <w:rPr>
                <w:rFonts w:hint="eastAsia" w:ascii="黑体" w:hAnsi="黑体" w:eastAsia="黑体" w:cs="黑体"/>
                <w:b/>
                <w:bCs/>
                <w:color w:val="auto"/>
                <w:sz w:val="24"/>
                <w:szCs w:val="24"/>
                <w:highlight w:val="none"/>
                <w:u w:val="single"/>
              </w:rPr>
            </w:pPr>
            <w:r>
              <w:rPr>
                <w:rFonts w:hint="eastAsia" w:ascii="黑体" w:hAnsi="黑体" w:eastAsia="黑体" w:cs="黑体"/>
                <w:b/>
                <w:bCs/>
                <w:color w:val="auto"/>
                <w:kern w:val="0"/>
                <w:sz w:val="24"/>
                <w:szCs w:val="24"/>
                <w:highlight w:val="none"/>
                <w:u w:val="single"/>
                <w:lang w:eastAsia="zh-CN"/>
              </w:rPr>
              <w:t>南通经济技术开发区总工会聘请法律顾问单位服务采购项目</w:t>
            </w:r>
            <w:r>
              <w:rPr>
                <w:rFonts w:hint="eastAsia" w:ascii="黑体" w:hAnsi="黑体" w:eastAsia="黑体" w:cs="黑体"/>
                <w:color w:val="auto"/>
                <w:kern w:val="0"/>
                <w:sz w:val="24"/>
                <w:szCs w:val="24"/>
                <w:highlight w:val="none"/>
              </w:rPr>
              <w:t>的潜在供应商应</w:t>
            </w:r>
            <w:r>
              <w:rPr>
                <w:rFonts w:hint="eastAsia" w:ascii="黑体" w:hAnsi="黑体" w:eastAsia="黑体" w:cs="黑体"/>
                <w:color w:val="auto"/>
                <w:kern w:val="0"/>
                <w:sz w:val="24"/>
                <w:szCs w:val="24"/>
                <w:highlight w:val="none"/>
                <w:u w:val="single"/>
              </w:rPr>
              <w:t>直接从南通经济技术开发区管理委员会（http://www.netda.gov.cn/）</w:t>
            </w:r>
            <w:r>
              <w:rPr>
                <w:rFonts w:hint="eastAsia" w:ascii="黑体" w:hAnsi="黑体" w:eastAsia="黑体" w:cs="黑体"/>
                <w:color w:val="auto"/>
                <w:kern w:val="0"/>
                <w:sz w:val="24"/>
                <w:szCs w:val="24"/>
                <w:highlight w:val="none"/>
              </w:rPr>
              <w:t>网站自行下载磋商文件。并于</w:t>
            </w:r>
            <w:r>
              <w:rPr>
                <w:rFonts w:hint="eastAsia" w:ascii="黑体" w:hAnsi="黑体" w:eastAsia="黑体" w:cs="黑体"/>
                <w:b/>
                <w:bCs/>
                <w:color w:val="auto"/>
                <w:kern w:val="0"/>
                <w:sz w:val="24"/>
                <w:szCs w:val="24"/>
                <w:highlight w:val="none"/>
                <w:u w:val="single"/>
              </w:rPr>
              <w:t>202</w:t>
            </w:r>
            <w:r>
              <w:rPr>
                <w:rFonts w:hint="eastAsia" w:ascii="黑体" w:hAnsi="黑体" w:eastAsia="黑体" w:cs="黑体"/>
                <w:b/>
                <w:bCs/>
                <w:color w:val="auto"/>
                <w:kern w:val="0"/>
                <w:sz w:val="24"/>
                <w:szCs w:val="24"/>
                <w:highlight w:val="none"/>
                <w:u w:val="single"/>
                <w:lang w:val="en-US" w:eastAsia="zh-CN"/>
              </w:rPr>
              <w:t>4</w:t>
            </w:r>
            <w:r>
              <w:rPr>
                <w:rFonts w:hint="eastAsia" w:ascii="黑体" w:hAnsi="黑体" w:eastAsia="黑体" w:cs="黑体"/>
                <w:b/>
                <w:bCs/>
                <w:color w:val="auto"/>
                <w:kern w:val="0"/>
                <w:sz w:val="24"/>
                <w:szCs w:val="24"/>
                <w:highlight w:val="none"/>
                <w:u w:val="single"/>
              </w:rPr>
              <w:t>年</w:t>
            </w:r>
            <w:r>
              <w:rPr>
                <w:rFonts w:hint="eastAsia" w:ascii="黑体" w:hAnsi="黑体" w:eastAsia="黑体" w:cs="黑体"/>
                <w:b/>
                <w:bCs/>
                <w:color w:val="auto"/>
                <w:kern w:val="0"/>
                <w:sz w:val="24"/>
                <w:szCs w:val="24"/>
                <w:highlight w:val="none"/>
                <w:u w:val="single"/>
                <w:lang w:val="en-US" w:eastAsia="zh-CN"/>
              </w:rPr>
              <w:t>10</w:t>
            </w:r>
            <w:r>
              <w:rPr>
                <w:rFonts w:hint="eastAsia" w:ascii="黑体" w:hAnsi="黑体" w:eastAsia="黑体" w:cs="黑体"/>
                <w:b/>
                <w:bCs/>
                <w:color w:val="auto"/>
                <w:kern w:val="0"/>
                <w:sz w:val="24"/>
                <w:szCs w:val="24"/>
                <w:highlight w:val="none"/>
                <w:u w:val="single"/>
              </w:rPr>
              <w:t>月</w:t>
            </w:r>
            <w:r>
              <w:rPr>
                <w:rFonts w:hint="eastAsia" w:ascii="黑体" w:hAnsi="黑体" w:eastAsia="黑体" w:cs="黑体"/>
                <w:b/>
                <w:bCs/>
                <w:color w:val="auto"/>
                <w:kern w:val="0"/>
                <w:sz w:val="24"/>
                <w:szCs w:val="24"/>
                <w:highlight w:val="none"/>
                <w:u w:val="single"/>
                <w:lang w:val="en-US" w:eastAsia="zh-CN"/>
              </w:rPr>
              <w:t xml:space="preserve">21 </w:t>
            </w:r>
            <w:r>
              <w:rPr>
                <w:rFonts w:hint="eastAsia" w:ascii="黑体" w:hAnsi="黑体" w:eastAsia="黑体" w:cs="黑体"/>
                <w:b/>
                <w:bCs/>
                <w:color w:val="auto"/>
                <w:kern w:val="0"/>
                <w:sz w:val="24"/>
                <w:szCs w:val="24"/>
                <w:highlight w:val="none"/>
                <w:u w:val="single"/>
              </w:rPr>
              <w:t>日14点00 分</w:t>
            </w:r>
            <w:r>
              <w:rPr>
                <w:rFonts w:hint="eastAsia" w:ascii="黑体" w:hAnsi="黑体" w:eastAsia="黑体" w:cs="黑体"/>
                <w:color w:val="auto"/>
                <w:kern w:val="0"/>
                <w:sz w:val="24"/>
                <w:szCs w:val="24"/>
                <w:highlight w:val="none"/>
              </w:rPr>
              <w:t>（北京时间）前提交响应文件。</w:t>
            </w:r>
          </w:p>
        </w:tc>
      </w:tr>
    </w:tbl>
    <w:p>
      <w:pPr>
        <w:pStyle w:val="21"/>
        <w:keepNext/>
        <w:keepLines/>
        <w:shd w:val="clear"/>
        <w:spacing w:line="360" w:lineRule="auto"/>
        <w:outlineLvl w:val="1"/>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一、项目基本情况</w:t>
      </w:r>
    </w:p>
    <w:p>
      <w:pPr>
        <w:pStyle w:val="21"/>
        <w:shd w:val="clea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1、项目编号：NT</w:t>
      </w:r>
      <w:r>
        <w:rPr>
          <w:rFonts w:hint="eastAsia" w:ascii="黑体" w:hAnsi="黑体" w:eastAsia="黑体" w:cs="黑体"/>
          <w:color w:val="auto"/>
          <w:sz w:val="24"/>
          <w:szCs w:val="24"/>
          <w:highlight w:val="none"/>
          <w:lang w:val="en-US" w:eastAsia="zh-CN"/>
        </w:rPr>
        <w:t>RT</w:t>
      </w:r>
      <w:r>
        <w:rPr>
          <w:rFonts w:hint="eastAsia" w:ascii="黑体" w:hAnsi="黑体" w:eastAsia="黑体" w:cs="黑体"/>
          <w:color w:val="auto"/>
          <w:sz w:val="24"/>
          <w:szCs w:val="24"/>
          <w:highlight w:val="none"/>
        </w:rPr>
        <w:t>CS202</w:t>
      </w:r>
      <w:r>
        <w:rPr>
          <w:rFonts w:hint="eastAsia" w:ascii="黑体" w:hAnsi="黑体" w:eastAsia="黑体" w:cs="黑体"/>
          <w:color w:val="auto"/>
          <w:sz w:val="24"/>
          <w:szCs w:val="24"/>
          <w:highlight w:val="none"/>
          <w:lang w:val="en-US" w:eastAsia="zh-CN"/>
        </w:rPr>
        <w:t>4013</w:t>
      </w:r>
      <w:r>
        <w:rPr>
          <w:rFonts w:hint="eastAsia" w:ascii="黑体" w:hAnsi="黑体" w:eastAsia="黑体" w:cs="黑体"/>
          <w:color w:val="auto"/>
          <w:sz w:val="24"/>
          <w:szCs w:val="24"/>
          <w:highlight w:val="none"/>
        </w:rPr>
        <w:t xml:space="preserve"> </w:t>
      </w:r>
    </w:p>
    <w:p>
      <w:pPr>
        <w:pStyle w:val="21"/>
        <w:shd w:val="clear"/>
        <w:spacing w:line="360" w:lineRule="auto"/>
        <w:jc w:val="left"/>
        <w:rPr>
          <w:rFonts w:hint="eastAsia" w:ascii="黑体" w:hAnsi="黑体" w:eastAsia="黑体" w:cs="黑体"/>
          <w:b/>
          <w:bCs/>
          <w:color w:val="auto"/>
          <w:sz w:val="24"/>
          <w:szCs w:val="24"/>
          <w:highlight w:val="none"/>
        </w:rPr>
      </w:pPr>
      <w:r>
        <w:rPr>
          <w:rFonts w:hint="eastAsia" w:ascii="黑体" w:hAnsi="黑体" w:eastAsia="黑体" w:cs="黑体"/>
          <w:color w:val="auto"/>
          <w:sz w:val="24"/>
          <w:szCs w:val="24"/>
          <w:highlight w:val="none"/>
        </w:rPr>
        <w:t>2、项目名称：</w:t>
      </w:r>
      <w:r>
        <w:rPr>
          <w:rFonts w:hint="eastAsia" w:ascii="黑体" w:hAnsi="黑体" w:eastAsia="黑体" w:cs="黑体"/>
          <w:b/>
          <w:bCs/>
          <w:color w:val="auto"/>
          <w:sz w:val="24"/>
          <w:szCs w:val="24"/>
          <w:highlight w:val="none"/>
          <w:lang w:eastAsia="zh-CN"/>
        </w:rPr>
        <w:t>南通经济技术开发区总工会聘请法律顾问单位服务采购项目</w:t>
      </w:r>
    </w:p>
    <w:p>
      <w:pPr>
        <w:pStyle w:val="21"/>
        <w:shd w:val="clea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3、采购方式：竞争性磋商</w:t>
      </w:r>
    </w:p>
    <w:p>
      <w:pPr>
        <w:pStyle w:val="21"/>
        <w:shd w:val="clear"/>
        <w:spacing w:line="360" w:lineRule="auto"/>
        <w:jc w:val="lef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4、预算金额：</w:t>
      </w:r>
      <w:r>
        <w:rPr>
          <w:rFonts w:hint="eastAsia" w:ascii="黑体" w:hAnsi="黑体" w:eastAsia="黑体" w:cs="黑体"/>
          <w:color w:val="auto"/>
          <w:sz w:val="24"/>
          <w:szCs w:val="24"/>
          <w:highlight w:val="none"/>
          <w:lang w:val="en-US" w:eastAsia="zh-CN"/>
        </w:rPr>
        <w:t>包件1：2.00万元/年；包件2：2.00万元/年</w:t>
      </w:r>
      <w:r>
        <w:rPr>
          <w:rFonts w:hint="eastAsia" w:ascii="黑体" w:hAnsi="黑体" w:eastAsia="黑体" w:cs="黑体"/>
          <w:color w:val="auto"/>
          <w:sz w:val="24"/>
          <w:szCs w:val="24"/>
          <w:highlight w:val="none"/>
          <w:lang w:eastAsia="zh-CN"/>
        </w:rPr>
        <w:t>。</w:t>
      </w:r>
    </w:p>
    <w:p>
      <w:pPr>
        <w:pStyle w:val="21"/>
        <w:shd w:val="clear"/>
        <w:spacing w:line="360" w:lineRule="auto"/>
        <w:rPr>
          <w:rFonts w:hint="eastAsia" w:ascii="黑体" w:hAnsi="黑体" w:eastAsia="黑体" w:cs="黑体"/>
          <w:color w:val="auto"/>
          <w:kern w:val="0"/>
          <w:sz w:val="23"/>
          <w:szCs w:val="23"/>
          <w:highlight w:val="none"/>
        </w:rPr>
      </w:pPr>
      <w:r>
        <w:rPr>
          <w:rFonts w:hint="eastAsia" w:ascii="黑体" w:hAnsi="黑体" w:eastAsia="黑体" w:cs="黑体"/>
          <w:color w:val="auto"/>
          <w:sz w:val="24"/>
          <w:szCs w:val="24"/>
          <w:highlight w:val="none"/>
        </w:rPr>
        <w:t>5、最高限价：</w:t>
      </w:r>
      <w:r>
        <w:rPr>
          <w:rFonts w:hint="eastAsia" w:ascii="黑体" w:hAnsi="黑体" w:eastAsia="黑体" w:cs="黑体"/>
          <w:color w:val="auto"/>
          <w:sz w:val="24"/>
          <w:szCs w:val="24"/>
          <w:highlight w:val="none"/>
          <w:lang w:val="en-US" w:eastAsia="zh-CN"/>
        </w:rPr>
        <w:t>包件1：2.00万元/年；包件2：2.00万元/年；</w:t>
      </w:r>
      <w:r>
        <w:rPr>
          <w:rFonts w:hint="eastAsia" w:ascii="黑体" w:hAnsi="黑体" w:eastAsia="黑体" w:cs="黑体"/>
          <w:color w:val="auto"/>
          <w:kern w:val="0"/>
          <w:sz w:val="24"/>
          <w:szCs w:val="24"/>
          <w:highlight w:val="none"/>
          <w:lang w:val="en-US" w:eastAsia="zh-CN"/>
        </w:rPr>
        <w:t>各包件的</w:t>
      </w:r>
      <w:r>
        <w:rPr>
          <w:rFonts w:hint="eastAsia" w:ascii="黑体" w:hAnsi="黑体" w:eastAsia="黑体" w:cs="黑体"/>
          <w:color w:val="auto"/>
          <w:kern w:val="0"/>
          <w:sz w:val="23"/>
          <w:szCs w:val="23"/>
          <w:highlight w:val="none"/>
        </w:rPr>
        <w:t>投标报价超过最高限价的均为无效报价，</w:t>
      </w:r>
      <w:r>
        <w:rPr>
          <w:rFonts w:hint="eastAsia" w:ascii="黑体" w:hAnsi="黑体" w:eastAsia="黑体" w:cs="黑体"/>
          <w:color w:val="auto"/>
          <w:kern w:val="0"/>
          <w:sz w:val="23"/>
          <w:szCs w:val="23"/>
          <w:highlight w:val="none"/>
          <w:lang w:val="en-US" w:eastAsia="zh-CN"/>
        </w:rPr>
        <w:t>作无效标处理</w:t>
      </w:r>
      <w:r>
        <w:rPr>
          <w:rFonts w:hint="eastAsia" w:ascii="黑体" w:hAnsi="黑体" w:eastAsia="黑体" w:cs="黑体"/>
          <w:color w:val="auto"/>
          <w:kern w:val="0"/>
          <w:sz w:val="23"/>
          <w:szCs w:val="23"/>
          <w:highlight w:val="none"/>
        </w:rPr>
        <w:t>。</w:t>
      </w:r>
    </w:p>
    <w:p>
      <w:pPr>
        <w:pStyle w:val="22"/>
        <w:keepNext w:val="0"/>
        <w:keepLines w:val="0"/>
        <w:pageBreakBefore w:val="0"/>
        <w:widowControl w:val="0"/>
        <w:shd w:val="clear"/>
        <w:kinsoku/>
        <w:wordWrap/>
        <w:overflowPunct/>
        <w:topLinePunct w:val="0"/>
        <w:autoSpaceDE/>
        <w:autoSpaceDN/>
        <w:bidi w:val="0"/>
        <w:adjustRightInd/>
        <w:snapToGrid/>
        <w:spacing w:line="440" w:lineRule="exact"/>
        <w:jc w:val="left"/>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6、包件划分：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包件1：南通经济技术开发区总工会聘请法律顾问单位服务采购项目（工会调解、法律宣传、职工法律援助等方向）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包件2：南通经济技术开发区总工会聘请法律顾问单位服务采购项目（规范性文件审查、集体协商等方向）</w:t>
      </w:r>
    </w:p>
    <w:p>
      <w:pPr>
        <w:pStyle w:val="21"/>
        <w:shd w:val="clea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7、采购需求：详见磋商文件第四章项目需求。</w:t>
      </w:r>
    </w:p>
    <w:p>
      <w:pPr>
        <w:shd w:val="clear"/>
        <w:snapToGrid w:val="0"/>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8、合同履行期限：</w:t>
      </w:r>
      <w:r>
        <w:rPr>
          <w:rFonts w:hint="eastAsia" w:ascii="黑体" w:hAnsi="黑体" w:eastAsia="黑体" w:cs="黑体"/>
          <w:color w:val="auto"/>
          <w:sz w:val="24"/>
          <w:szCs w:val="24"/>
          <w:highlight w:val="none"/>
          <w:lang w:eastAsia="zh-CN"/>
        </w:rPr>
        <w:t>自合同签订之日起叁年</w:t>
      </w:r>
      <w:r>
        <w:rPr>
          <w:rFonts w:hint="eastAsia" w:ascii="黑体" w:hAnsi="黑体" w:eastAsia="黑体" w:cs="黑体"/>
          <w:color w:val="auto"/>
          <w:sz w:val="24"/>
          <w:highlight w:val="none"/>
        </w:rPr>
        <w:t>。</w:t>
      </w:r>
    </w:p>
    <w:p>
      <w:pPr>
        <w:pStyle w:val="21"/>
        <w:shd w:val="clear"/>
        <w:spacing w:line="360" w:lineRule="auto"/>
        <w:jc w:val="lef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9、本项目（是/否）接受联合体</w:t>
      </w:r>
      <w:r>
        <w:rPr>
          <w:rFonts w:hint="eastAsia" w:ascii="黑体" w:hAnsi="黑体" w:eastAsia="黑体" w:cs="黑体"/>
          <w:color w:val="auto"/>
          <w:sz w:val="24"/>
          <w:szCs w:val="24"/>
          <w:highlight w:val="none"/>
          <w:u w:val="single"/>
        </w:rPr>
        <w:t xml:space="preserve"> 否</w:t>
      </w:r>
      <w:r>
        <w:rPr>
          <w:rFonts w:hint="eastAsia" w:ascii="黑体" w:hAnsi="黑体" w:eastAsia="黑体" w:cs="黑体"/>
          <w:color w:val="auto"/>
          <w:sz w:val="24"/>
          <w:szCs w:val="24"/>
          <w:highlight w:val="none"/>
        </w:rPr>
        <w:t xml:space="preserve"> </w:t>
      </w:r>
      <w:r>
        <w:rPr>
          <w:rFonts w:hint="eastAsia" w:ascii="黑体" w:hAnsi="黑体" w:eastAsia="黑体" w:cs="黑体"/>
          <w:color w:val="auto"/>
          <w:sz w:val="24"/>
          <w:szCs w:val="24"/>
          <w:highlight w:val="none"/>
          <w:lang w:eastAsia="zh-CN"/>
        </w:rPr>
        <w:t>，</w:t>
      </w:r>
      <w:r>
        <w:rPr>
          <w:rFonts w:hint="default" w:ascii="黑体" w:hAnsi="黑体" w:eastAsia="黑体" w:cs="黑体"/>
          <w:color w:val="auto"/>
          <w:sz w:val="24"/>
          <w:szCs w:val="24"/>
          <w:highlight w:val="none"/>
        </w:rPr>
        <w:t>合同签订后不允许分包、转包</w:t>
      </w:r>
      <w:r>
        <w:rPr>
          <w:rFonts w:hint="eastAsia" w:ascii="黑体" w:hAnsi="黑体" w:eastAsia="黑体" w:cs="黑体"/>
          <w:color w:val="auto"/>
          <w:sz w:val="24"/>
          <w:szCs w:val="24"/>
          <w:highlight w:val="none"/>
          <w:lang w:eastAsia="zh-CN"/>
        </w:rPr>
        <w:t>。</w:t>
      </w:r>
    </w:p>
    <w:p>
      <w:pPr>
        <w:pStyle w:val="21"/>
        <w:shd w:val="clea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二、申请人的资格要求：</w:t>
      </w:r>
    </w:p>
    <w:p>
      <w:pPr>
        <w:pStyle w:val="21"/>
        <w:shd w:val="clea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1.满足《中华人民共和国政府采购法》第二十二条规定。</w:t>
      </w:r>
    </w:p>
    <w:p>
      <w:pPr>
        <w:pStyle w:val="21"/>
        <w:shd w:val="clear"/>
        <w:spacing w:line="360" w:lineRule="auto"/>
        <w:jc w:val="lef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2.落实政府采购政策需满足的资格要求</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w:t>
      </w:r>
    </w:p>
    <w:p>
      <w:pPr>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供应商法定代表人参加的，必须提供法定代表人身份证明及法定代表人本人身份证</w:t>
      </w:r>
      <w:r>
        <w:rPr>
          <w:rFonts w:hint="eastAsia" w:ascii="黑体" w:hAnsi="黑体" w:eastAsia="黑体" w:cs="黑体"/>
          <w:color w:val="auto"/>
          <w:sz w:val="24"/>
          <w:szCs w:val="24"/>
          <w:highlight w:val="none"/>
          <w:lang w:eastAsia="zh-CN"/>
        </w:rPr>
        <w:t>原件扫描件</w:t>
      </w:r>
      <w:r>
        <w:rPr>
          <w:rFonts w:hint="eastAsia" w:ascii="黑体" w:hAnsi="黑体" w:eastAsia="黑体" w:cs="黑体"/>
          <w:color w:val="auto"/>
          <w:sz w:val="24"/>
          <w:szCs w:val="24"/>
          <w:highlight w:val="none"/>
        </w:rPr>
        <w:t>（格式参见第</w:t>
      </w:r>
      <w:r>
        <w:rPr>
          <w:rFonts w:hint="eastAsia" w:ascii="黑体" w:hAnsi="黑体" w:eastAsia="黑体" w:cs="黑体"/>
          <w:color w:val="auto"/>
          <w:sz w:val="24"/>
          <w:szCs w:val="24"/>
          <w:highlight w:val="none"/>
          <w:lang w:val="en-US" w:eastAsia="zh-CN"/>
        </w:rPr>
        <w:t>七</w:t>
      </w:r>
      <w:r>
        <w:rPr>
          <w:rFonts w:hint="eastAsia" w:ascii="黑体" w:hAnsi="黑体" w:eastAsia="黑体" w:cs="黑体"/>
          <w:color w:val="auto"/>
          <w:sz w:val="24"/>
          <w:szCs w:val="24"/>
          <w:highlight w:val="none"/>
        </w:rPr>
        <w:t>章）；非法定代表人参加的，必须提供法定代表人签字或盖章的授权委托书及法定代表人、被授权人的两人身份证的</w:t>
      </w:r>
      <w:r>
        <w:rPr>
          <w:rFonts w:hint="eastAsia" w:ascii="黑体" w:hAnsi="黑体" w:eastAsia="黑体" w:cs="黑体"/>
          <w:color w:val="auto"/>
          <w:sz w:val="24"/>
          <w:szCs w:val="24"/>
          <w:highlight w:val="none"/>
          <w:lang w:eastAsia="zh-CN"/>
        </w:rPr>
        <w:t>原件扫描件</w:t>
      </w:r>
      <w:r>
        <w:rPr>
          <w:rFonts w:hint="eastAsia" w:ascii="黑体" w:hAnsi="黑体" w:eastAsia="黑体" w:cs="黑体"/>
          <w:color w:val="auto"/>
          <w:sz w:val="24"/>
          <w:szCs w:val="24"/>
          <w:highlight w:val="none"/>
        </w:rPr>
        <w:t>（格式参见第</w:t>
      </w:r>
      <w:r>
        <w:rPr>
          <w:rFonts w:hint="eastAsia" w:ascii="黑体" w:hAnsi="黑体" w:eastAsia="黑体" w:cs="黑体"/>
          <w:color w:val="auto"/>
          <w:sz w:val="24"/>
          <w:szCs w:val="24"/>
          <w:highlight w:val="none"/>
          <w:lang w:val="en-US" w:eastAsia="zh-CN"/>
        </w:rPr>
        <w:t>七</w:t>
      </w:r>
      <w:r>
        <w:rPr>
          <w:rFonts w:hint="eastAsia" w:ascii="黑体" w:hAnsi="黑体" w:eastAsia="黑体" w:cs="黑体"/>
          <w:color w:val="auto"/>
          <w:sz w:val="24"/>
          <w:szCs w:val="24"/>
          <w:highlight w:val="none"/>
        </w:rPr>
        <w:t>章）的这两项（须加盖公章）；</w:t>
      </w:r>
    </w:p>
    <w:p>
      <w:pPr>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4.</w:t>
      </w:r>
      <w:r>
        <w:rPr>
          <w:rFonts w:hint="eastAsia" w:ascii="黑体" w:hAnsi="黑体" w:eastAsia="黑体" w:cs="黑体"/>
          <w:color w:val="auto"/>
          <w:sz w:val="24"/>
          <w:szCs w:val="24"/>
          <w:highlight w:val="none"/>
        </w:rPr>
        <w:t>响应供应商未被“信用中国”网站（www.creditchina.gov.cn）、中国政府采购网（www.ccgp.gov.cn）、国家企业信用信息公示系统（www.gsxt.gov.cn）列入失信被执行人、重大税收违法案件当事人名单、政府采购严重违法失信行为记录名单、异常经营名录、严重违法失信企业名单；为确保政府采购守法供应商公平参加政府采购活动，采购代理机构将在开标开始后一个小时内，通过“信用中国”网站和中国政府采购网和国家企业信用信息公示系统对供应商信用信息进行查询查证，并将查询记录截屏打印保存在采购档案内。如核实未通过，经评标小组确认后资格审查不予通过。</w:t>
      </w:r>
    </w:p>
    <w:p>
      <w:pPr>
        <w:keepNext w:val="0"/>
        <w:keepLines w:val="0"/>
        <w:pageBreakBefore w:val="0"/>
        <w:widowControl w:val="0"/>
        <w:shd w:val="clear"/>
        <w:kinsoku/>
        <w:wordWrap/>
        <w:overflowPunct/>
        <w:topLinePunct w:val="0"/>
        <w:autoSpaceDE/>
        <w:autoSpaceDN/>
        <w:bidi w:val="0"/>
        <w:adjustRightInd w:val="0"/>
        <w:snapToGrid w:val="0"/>
        <w:spacing w:line="440" w:lineRule="exact"/>
        <w:textAlignment w:val="auto"/>
        <w:rPr>
          <w:rFonts w:hint="eastAsia" w:ascii="黑体" w:hAnsi="黑体" w:eastAsia="黑体" w:cs="黑体"/>
          <w:b/>
          <w:bCs/>
          <w:color w:val="auto"/>
          <w:sz w:val="24"/>
          <w:szCs w:val="24"/>
          <w:highlight w:val="none"/>
        </w:rPr>
      </w:pPr>
      <w:r>
        <w:rPr>
          <w:rFonts w:hint="eastAsia" w:ascii="黑体" w:hAnsi="黑体" w:eastAsia="黑体" w:cs="黑体"/>
          <w:color w:val="auto"/>
          <w:sz w:val="24"/>
          <w:szCs w:val="24"/>
          <w:highlight w:val="none"/>
          <w:lang w:val="en-US" w:eastAsia="zh-CN"/>
        </w:rPr>
        <w:t>5.</w:t>
      </w:r>
      <w:r>
        <w:rPr>
          <w:rFonts w:hint="eastAsia" w:ascii="黑体" w:hAnsi="黑体" w:eastAsia="黑体" w:cs="黑体"/>
          <w:b/>
          <w:bCs/>
          <w:color w:val="auto"/>
          <w:sz w:val="24"/>
          <w:szCs w:val="24"/>
          <w:highlight w:val="none"/>
        </w:rPr>
        <w:t>3.本项目的特定资格要求：</w:t>
      </w:r>
    </w:p>
    <w:p>
      <w:pPr>
        <w:pStyle w:val="10"/>
        <w:keepNext w:val="0"/>
        <w:keepLines w:val="0"/>
        <w:pageBreakBefore w:val="0"/>
        <w:widowControl w:val="0"/>
        <w:shd w:val="clear"/>
        <w:kinsoku/>
        <w:wordWrap/>
        <w:overflowPunct/>
        <w:topLinePunct w:val="0"/>
        <w:autoSpaceDE/>
        <w:autoSpaceDN/>
        <w:bidi w:val="0"/>
        <w:spacing w:line="440" w:lineRule="exac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lang w:eastAsia="zh-CN"/>
        </w:rPr>
        <w:t>）投标人必须经过国家司法行政主管部门合法登记注册且持有经年检合格的律师事务所执业许可证（提供合法登记注册文件及最近一年年检合格的执业许可证书原件扫描件并加盖投标人公章），且依法有效存续，总部或分支机构在南通，分所投标还须提供总所的授权书（加盖总所公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黑体" w:hAnsi="黑体" w:eastAsia="黑体" w:cs="黑体"/>
          <w:color w:val="auto"/>
          <w:sz w:val="24"/>
          <w:szCs w:val="24"/>
          <w:highlight w:val="none"/>
          <w:lang w:val="en-US" w:eastAsia="zh-CN" w:bidi="hi-IN"/>
        </w:rPr>
      </w:pPr>
      <w:r>
        <w:rPr>
          <w:rFonts w:hint="eastAsia" w:ascii="黑体" w:hAnsi="黑体" w:eastAsia="黑体" w:cs="黑体"/>
          <w:color w:val="auto"/>
          <w:sz w:val="24"/>
          <w:szCs w:val="24"/>
          <w:highlight w:val="none"/>
          <w:lang w:val="en-US" w:eastAsia="zh-CN" w:bidi="hi-IN"/>
        </w:rPr>
        <w:t>（2）投标人同时</w:t>
      </w:r>
      <w:r>
        <w:rPr>
          <w:rFonts w:hint="default" w:ascii="黑体" w:hAnsi="黑体" w:eastAsia="黑体" w:cs="黑体"/>
          <w:color w:val="auto"/>
          <w:sz w:val="24"/>
          <w:szCs w:val="24"/>
          <w:highlight w:val="none"/>
          <w:lang w:val="en-US" w:eastAsia="zh-CN" w:bidi="hi-IN"/>
        </w:rPr>
        <w:t>具有一定规模的办公场所和完备的硬件设施，且执业律师人数不少于10人</w:t>
      </w:r>
      <w:r>
        <w:rPr>
          <w:rFonts w:hint="eastAsia" w:ascii="黑体" w:hAnsi="黑体" w:eastAsia="黑体" w:cs="黑体"/>
          <w:color w:val="auto"/>
          <w:sz w:val="24"/>
          <w:szCs w:val="24"/>
          <w:highlight w:val="none"/>
          <w:lang w:val="en-US" w:eastAsia="zh-CN" w:bidi="hi-IN"/>
        </w:rPr>
        <w:t>（提供响应以上要求的承诺书，格式自拟）</w:t>
      </w:r>
      <w:r>
        <w:rPr>
          <w:rFonts w:hint="default" w:ascii="黑体" w:hAnsi="黑体" w:eastAsia="黑体" w:cs="黑体"/>
          <w:color w:val="auto"/>
          <w:sz w:val="24"/>
          <w:szCs w:val="24"/>
          <w:highlight w:val="none"/>
          <w:lang w:val="en-US" w:eastAsia="zh-CN" w:bidi="hi-I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黑体" w:hAnsi="黑体" w:eastAsia="黑体" w:cs="黑体"/>
          <w:color w:val="auto"/>
          <w:sz w:val="24"/>
          <w:szCs w:val="24"/>
          <w:highlight w:val="none"/>
          <w:lang w:val="en-US" w:eastAsia="zh-CN" w:bidi="hi-IN"/>
        </w:rPr>
      </w:pPr>
      <w:r>
        <w:rPr>
          <w:rFonts w:hint="eastAsia" w:ascii="黑体" w:hAnsi="黑体" w:eastAsia="黑体" w:cs="黑体"/>
          <w:color w:val="auto"/>
          <w:sz w:val="24"/>
          <w:szCs w:val="24"/>
          <w:highlight w:val="none"/>
          <w:lang w:val="en-US" w:eastAsia="zh-CN" w:bidi="hi-IN"/>
        </w:rPr>
        <w:t>（3）</w:t>
      </w:r>
      <w:r>
        <w:rPr>
          <w:rFonts w:hint="default" w:ascii="黑体" w:hAnsi="黑体" w:eastAsia="黑体" w:cs="黑体"/>
          <w:color w:val="auto"/>
          <w:sz w:val="24"/>
          <w:szCs w:val="24"/>
          <w:highlight w:val="none"/>
          <w:lang w:val="en-US" w:eastAsia="zh-CN" w:bidi="hi-IN"/>
        </w:rPr>
        <w:t>投标人</w:t>
      </w:r>
      <w:r>
        <w:rPr>
          <w:rFonts w:hint="eastAsia" w:ascii="黑体" w:hAnsi="黑体" w:eastAsia="黑体" w:cs="黑体"/>
          <w:color w:val="auto"/>
          <w:sz w:val="24"/>
          <w:szCs w:val="24"/>
          <w:highlight w:val="none"/>
          <w:lang w:val="en-US" w:eastAsia="zh-CN" w:bidi="hi-IN"/>
        </w:rPr>
        <w:t>拟派</w:t>
      </w:r>
      <w:r>
        <w:rPr>
          <w:rFonts w:hint="default" w:ascii="黑体" w:hAnsi="黑体" w:eastAsia="黑体" w:cs="黑体"/>
          <w:color w:val="auto"/>
          <w:sz w:val="24"/>
          <w:szCs w:val="24"/>
          <w:highlight w:val="none"/>
          <w:lang w:val="en-US" w:eastAsia="zh-CN" w:bidi="hi-IN"/>
        </w:rPr>
        <w:t>的常年法律顾问服务团队不少于2人，团队成员均为专职律师。其中法律顾问服务团队的主办律师执业年限为</w:t>
      </w:r>
      <w:r>
        <w:rPr>
          <w:rFonts w:hint="eastAsia" w:ascii="黑体" w:hAnsi="黑体" w:eastAsia="黑体" w:cs="黑体"/>
          <w:color w:val="auto"/>
          <w:sz w:val="24"/>
          <w:szCs w:val="24"/>
          <w:highlight w:val="none"/>
          <w:lang w:val="en-US" w:eastAsia="zh-CN" w:bidi="hi-IN"/>
        </w:rPr>
        <w:t>5</w:t>
      </w:r>
      <w:r>
        <w:rPr>
          <w:rFonts w:hint="default" w:ascii="黑体" w:hAnsi="黑体" w:eastAsia="黑体" w:cs="黑体"/>
          <w:color w:val="auto"/>
          <w:sz w:val="24"/>
          <w:szCs w:val="24"/>
          <w:highlight w:val="none"/>
          <w:lang w:val="en-US" w:eastAsia="zh-CN" w:bidi="hi-IN"/>
        </w:rPr>
        <w:t>年以上</w:t>
      </w:r>
      <w:r>
        <w:rPr>
          <w:rFonts w:hint="eastAsia" w:ascii="黑体" w:hAnsi="黑体" w:eastAsia="黑体" w:cs="黑体"/>
          <w:color w:val="auto"/>
          <w:sz w:val="24"/>
          <w:szCs w:val="24"/>
          <w:highlight w:val="none"/>
          <w:lang w:val="en-US" w:eastAsia="zh-CN" w:bidi="hi-IN"/>
        </w:rPr>
        <w:t>；</w:t>
      </w:r>
      <w:r>
        <w:rPr>
          <w:rFonts w:hint="default" w:ascii="黑体" w:hAnsi="黑体" w:eastAsia="黑体" w:cs="黑体"/>
          <w:color w:val="auto"/>
          <w:sz w:val="24"/>
          <w:szCs w:val="24"/>
          <w:highlight w:val="none"/>
          <w:lang w:val="en-US" w:eastAsia="zh-CN" w:bidi="hi-IN"/>
        </w:rPr>
        <w:t>主办律师应具有较为丰富的经验</w:t>
      </w:r>
      <w:r>
        <w:rPr>
          <w:rFonts w:hint="eastAsia" w:ascii="黑体" w:hAnsi="黑体" w:eastAsia="黑体" w:cs="黑体"/>
          <w:color w:val="auto"/>
          <w:sz w:val="24"/>
          <w:szCs w:val="24"/>
          <w:highlight w:val="none"/>
          <w:lang w:val="en-US" w:eastAsia="zh-CN" w:bidi="hi-IN"/>
        </w:rPr>
        <w:t>，</w:t>
      </w:r>
      <w:r>
        <w:rPr>
          <w:rFonts w:hint="default" w:ascii="黑体" w:hAnsi="黑体" w:eastAsia="黑体" w:cs="黑体"/>
          <w:color w:val="auto"/>
          <w:sz w:val="24"/>
          <w:szCs w:val="24"/>
          <w:highlight w:val="none"/>
          <w:lang w:val="en-US" w:eastAsia="zh-CN" w:bidi="hi-IN"/>
        </w:rPr>
        <w:t>同等条件下，有为工会、党委、政府或企业服务经验。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highlight w:val="none"/>
          <w:lang w:eastAsia="zh-CN"/>
        </w:rPr>
      </w:pPr>
      <w:r>
        <w:rPr>
          <w:rFonts w:hint="eastAsia" w:ascii="黑体" w:hAnsi="黑体" w:eastAsia="黑体" w:cs="黑体"/>
          <w:color w:val="auto"/>
          <w:sz w:val="24"/>
          <w:szCs w:val="24"/>
          <w:highlight w:val="none"/>
          <w:lang w:val="en-US" w:eastAsia="zh-CN" w:bidi="hi-IN"/>
        </w:rPr>
        <w:t>以上提供所有拟派律师的律师证书、主办律师除提供律师证书外，还需提供简历以及参与类似本项目案件的业绩证明材料。</w:t>
      </w:r>
    </w:p>
    <w:p>
      <w:pPr>
        <w:pStyle w:val="21"/>
        <w:shd w:val="clear"/>
        <w:spacing w:line="360" w:lineRule="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三、获取采购文件</w:t>
      </w:r>
    </w:p>
    <w:p>
      <w:pPr>
        <w:pStyle w:val="21"/>
        <w:shd w:val="clear"/>
        <w:spacing w:line="360" w:lineRule="auto"/>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1、时间：</w:t>
      </w:r>
      <w:r>
        <w:rPr>
          <w:rFonts w:hint="eastAsia" w:ascii="黑体" w:hAnsi="黑体" w:eastAsia="黑体" w:cs="黑体"/>
          <w:b/>
          <w:bCs/>
          <w:color w:val="auto"/>
          <w:sz w:val="24"/>
          <w:szCs w:val="24"/>
          <w:highlight w:val="none"/>
          <w:u w:val="single"/>
        </w:rPr>
        <w:t xml:space="preserve"> 202</w:t>
      </w:r>
      <w:r>
        <w:rPr>
          <w:rFonts w:hint="eastAsia" w:ascii="黑体" w:hAnsi="黑体" w:eastAsia="黑体" w:cs="黑体"/>
          <w:b/>
          <w:bCs/>
          <w:color w:val="auto"/>
          <w:sz w:val="24"/>
          <w:szCs w:val="24"/>
          <w:highlight w:val="none"/>
          <w:u w:val="single"/>
          <w:lang w:val="en-US" w:eastAsia="zh-CN"/>
        </w:rPr>
        <w:t>4</w:t>
      </w:r>
      <w:r>
        <w:rPr>
          <w:rFonts w:hint="eastAsia" w:ascii="黑体" w:hAnsi="黑体" w:eastAsia="黑体" w:cs="黑体"/>
          <w:b/>
          <w:bCs/>
          <w:color w:val="auto"/>
          <w:sz w:val="24"/>
          <w:szCs w:val="24"/>
          <w:highlight w:val="none"/>
          <w:u w:val="single"/>
        </w:rPr>
        <w:t>年</w:t>
      </w:r>
      <w:r>
        <w:rPr>
          <w:rFonts w:hint="eastAsia" w:ascii="黑体" w:hAnsi="黑体" w:eastAsia="黑体" w:cs="黑体"/>
          <w:b/>
          <w:bCs/>
          <w:color w:val="auto"/>
          <w:sz w:val="24"/>
          <w:szCs w:val="24"/>
          <w:highlight w:val="none"/>
          <w:u w:val="single"/>
          <w:lang w:val="en-US" w:eastAsia="zh-CN"/>
        </w:rPr>
        <w:t>10</w:t>
      </w:r>
      <w:r>
        <w:rPr>
          <w:rFonts w:hint="eastAsia" w:ascii="黑体" w:hAnsi="黑体" w:eastAsia="黑体" w:cs="黑体"/>
          <w:b/>
          <w:bCs/>
          <w:color w:val="auto"/>
          <w:sz w:val="24"/>
          <w:szCs w:val="24"/>
          <w:highlight w:val="none"/>
          <w:u w:val="single"/>
        </w:rPr>
        <w:t>月</w:t>
      </w:r>
      <w:r>
        <w:rPr>
          <w:rFonts w:hint="eastAsia" w:ascii="黑体" w:hAnsi="黑体" w:eastAsia="黑体" w:cs="黑体"/>
          <w:b/>
          <w:bCs/>
          <w:color w:val="auto"/>
          <w:sz w:val="24"/>
          <w:szCs w:val="24"/>
          <w:highlight w:val="none"/>
          <w:u w:val="single"/>
          <w:lang w:val="en-US" w:eastAsia="zh-CN"/>
        </w:rPr>
        <w:t>12</w:t>
      </w:r>
      <w:r>
        <w:rPr>
          <w:rFonts w:hint="eastAsia" w:ascii="黑体" w:hAnsi="黑体" w:eastAsia="黑体" w:cs="黑体"/>
          <w:b/>
          <w:bCs/>
          <w:color w:val="auto"/>
          <w:sz w:val="24"/>
          <w:szCs w:val="24"/>
          <w:highlight w:val="none"/>
          <w:u w:val="single"/>
        </w:rPr>
        <w:t xml:space="preserve"> 日至 20</w:t>
      </w:r>
      <w:r>
        <w:rPr>
          <w:rFonts w:hint="eastAsia" w:ascii="黑体" w:hAnsi="黑体" w:eastAsia="黑体" w:cs="黑体"/>
          <w:b/>
          <w:bCs/>
          <w:color w:val="auto"/>
          <w:sz w:val="24"/>
          <w:szCs w:val="24"/>
          <w:highlight w:val="none"/>
          <w:u w:val="single"/>
          <w:lang w:val="en-US" w:eastAsia="zh-CN"/>
        </w:rPr>
        <w:t>24</w:t>
      </w:r>
      <w:r>
        <w:rPr>
          <w:rFonts w:hint="eastAsia" w:ascii="黑体" w:hAnsi="黑体" w:eastAsia="黑体" w:cs="黑体"/>
          <w:b/>
          <w:bCs/>
          <w:color w:val="auto"/>
          <w:sz w:val="24"/>
          <w:szCs w:val="24"/>
          <w:highlight w:val="none"/>
          <w:u w:val="single"/>
        </w:rPr>
        <w:t>年</w:t>
      </w:r>
      <w:r>
        <w:rPr>
          <w:rFonts w:hint="eastAsia" w:ascii="黑体" w:hAnsi="黑体" w:eastAsia="黑体" w:cs="黑体"/>
          <w:b/>
          <w:bCs/>
          <w:color w:val="auto"/>
          <w:sz w:val="24"/>
          <w:szCs w:val="24"/>
          <w:highlight w:val="none"/>
          <w:u w:val="single"/>
          <w:lang w:val="en-US" w:eastAsia="zh-CN"/>
        </w:rPr>
        <w:t>10</w:t>
      </w:r>
      <w:r>
        <w:rPr>
          <w:rFonts w:hint="eastAsia" w:ascii="黑体" w:hAnsi="黑体" w:eastAsia="黑体" w:cs="黑体"/>
          <w:b/>
          <w:bCs/>
          <w:color w:val="auto"/>
          <w:sz w:val="24"/>
          <w:szCs w:val="24"/>
          <w:highlight w:val="none"/>
          <w:u w:val="single"/>
        </w:rPr>
        <w:t>月</w:t>
      </w:r>
      <w:r>
        <w:rPr>
          <w:rFonts w:hint="eastAsia" w:ascii="黑体" w:hAnsi="黑体" w:eastAsia="黑体" w:cs="黑体"/>
          <w:b/>
          <w:bCs/>
          <w:color w:val="auto"/>
          <w:sz w:val="24"/>
          <w:szCs w:val="24"/>
          <w:highlight w:val="none"/>
          <w:u w:val="single"/>
          <w:lang w:val="en-US" w:eastAsia="zh-CN"/>
        </w:rPr>
        <w:t>21</w:t>
      </w:r>
      <w:r>
        <w:rPr>
          <w:rFonts w:hint="eastAsia" w:ascii="黑体" w:hAnsi="黑体" w:eastAsia="黑体" w:cs="黑体"/>
          <w:b/>
          <w:bCs/>
          <w:color w:val="auto"/>
          <w:sz w:val="24"/>
          <w:szCs w:val="24"/>
          <w:highlight w:val="none"/>
          <w:u w:val="single"/>
        </w:rPr>
        <w:t xml:space="preserve"> 日 14 : 00 分止</w:t>
      </w:r>
    </w:p>
    <w:p>
      <w:pPr>
        <w:pStyle w:val="21"/>
        <w:widowControl/>
        <w:shd w:val="clear"/>
        <w:spacing w:line="44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2、地点：供应商直接</w:t>
      </w:r>
      <w:r>
        <w:rPr>
          <w:rFonts w:hint="eastAsia" w:ascii="黑体" w:hAnsi="黑体" w:eastAsia="黑体" w:cs="黑体"/>
          <w:color w:val="auto"/>
          <w:kern w:val="0"/>
          <w:sz w:val="24"/>
          <w:szCs w:val="24"/>
          <w:highlight w:val="none"/>
        </w:rPr>
        <w:t>从</w:t>
      </w:r>
      <w:r>
        <w:rPr>
          <w:rFonts w:hint="eastAsia" w:ascii="黑体" w:hAnsi="黑体" w:eastAsia="黑体" w:cs="黑体"/>
          <w:color w:val="auto"/>
          <w:kern w:val="0"/>
          <w:sz w:val="24"/>
          <w:szCs w:val="24"/>
          <w:highlight w:val="none"/>
          <w:u w:val="single"/>
        </w:rPr>
        <w:t>南通经济技术开发区管理委员会（http://www.netda.gov.cn/）官网</w:t>
      </w:r>
      <w:r>
        <w:rPr>
          <w:rFonts w:hint="eastAsia" w:ascii="黑体" w:hAnsi="黑体" w:eastAsia="黑体" w:cs="黑体"/>
          <w:color w:val="auto"/>
          <w:kern w:val="0"/>
          <w:sz w:val="24"/>
          <w:szCs w:val="24"/>
          <w:highlight w:val="none"/>
        </w:rPr>
        <w:t>自行下载竞争性磋商文件等招标资料。</w:t>
      </w:r>
    </w:p>
    <w:p>
      <w:pPr>
        <w:pStyle w:val="21"/>
        <w:shd w:val="clear"/>
        <w:spacing w:line="360" w:lineRule="auto"/>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3、方式：自行下载</w:t>
      </w:r>
    </w:p>
    <w:p>
      <w:pPr>
        <w:pStyle w:val="21"/>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4、售价：</w:t>
      </w: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00元/每位响应供应商（递交投标文件同时递交）</w:t>
      </w:r>
    </w:p>
    <w:p>
      <w:pPr>
        <w:pStyle w:val="21"/>
        <w:shd w:val="clear"/>
        <w:spacing w:line="360" w:lineRule="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四、响应文件提交</w:t>
      </w:r>
    </w:p>
    <w:p>
      <w:pPr>
        <w:pStyle w:val="21"/>
        <w:shd w:val="clear"/>
        <w:spacing w:line="360" w:lineRule="auto"/>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1、截止时间：可在</w:t>
      </w:r>
      <w:r>
        <w:rPr>
          <w:rFonts w:hint="eastAsia" w:ascii="黑体" w:hAnsi="黑体" w:eastAsia="黑体" w:cs="黑体"/>
          <w:b/>
          <w:bCs/>
          <w:color w:val="auto"/>
          <w:sz w:val="24"/>
          <w:szCs w:val="24"/>
          <w:highlight w:val="none"/>
          <w:u w:val="single"/>
        </w:rPr>
        <w:t>202</w:t>
      </w:r>
      <w:r>
        <w:rPr>
          <w:rFonts w:hint="eastAsia" w:ascii="黑体" w:hAnsi="黑体" w:eastAsia="黑体" w:cs="黑体"/>
          <w:b/>
          <w:bCs/>
          <w:color w:val="auto"/>
          <w:sz w:val="24"/>
          <w:szCs w:val="24"/>
          <w:highlight w:val="none"/>
          <w:u w:val="single"/>
          <w:lang w:val="en-US" w:eastAsia="zh-CN"/>
        </w:rPr>
        <w:t>4</w:t>
      </w:r>
      <w:r>
        <w:rPr>
          <w:rFonts w:hint="eastAsia" w:ascii="黑体" w:hAnsi="黑体" w:eastAsia="黑体" w:cs="黑体"/>
          <w:b/>
          <w:bCs/>
          <w:color w:val="auto"/>
          <w:sz w:val="24"/>
          <w:szCs w:val="24"/>
          <w:highlight w:val="none"/>
          <w:u w:val="single"/>
        </w:rPr>
        <w:t>年</w:t>
      </w:r>
      <w:r>
        <w:rPr>
          <w:rFonts w:hint="eastAsia" w:ascii="黑体" w:hAnsi="黑体" w:eastAsia="黑体" w:cs="黑体"/>
          <w:b/>
          <w:bCs/>
          <w:color w:val="auto"/>
          <w:sz w:val="24"/>
          <w:szCs w:val="24"/>
          <w:highlight w:val="none"/>
          <w:u w:val="single"/>
          <w:lang w:val="en-US" w:eastAsia="zh-CN"/>
        </w:rPr>
        <w:t>10</w:t>
      </w:r>
      <w:r>
        <w:rPr>
          <w:rFonts w:hint="eastAsia" w:ascii="黑体" w:hAnsi="黑体" w:eastAsia="黑体" w:cs="黑体"/>
          <w:b/>
          <w:bCs/>
          <w:color w:val="auto"/>
          <w:sz w:val="24"/>
          <w:szCs w:val="24"/>
          <w:highlight w:val="none"/>
          <w:u w:val="single"/>
        </w:rPr>
        <w:t>月</w:t>
      </w:r>
      <w:r>
        <w:rPr>
          <w:rFonts w:hint="eastAsia" w:ascii="黑体" w:hAnsi="黑体" w:eastAsia="黑体" w:cs="黑体"/>
          <w:b/>
          <w:bCs/>
          <w:color w:val="auto"/>
          <w:sz w:val="24"/>
          <w:szCs w:val="24"/>
          <w:highlight w:val="none"/>
          <w:u w:val="single"/>
          <w:lang w:val="en-US" w:eastAsia="zh-CN"/>
        </w:rPr>
        <w:t>21</w:t>
      </w:r>
      <w:r>
        <w:rPr>
          <w:rFonts w:hint="eastAsia" w:ascii="黑体" w:hAnsi="黑体" w:eastAsia="黑体" w:cs="黑体"/>
          <w:b/>
          <w:bCs/>
          <w:color w:val="auto"/>
          <w:sz w:val="24"/>
          <w:szCs w:val="24"/>
          <w:highlight w:val="none"/>
          <w:u w:val="single"/>
        </w:rPr>
        <w:t>日 13点 30 分时</w:t>
      </w:r>
      <w:r>
        <w:rPr>
          <w:rFonts w:hint="eastAsia" w:ascii="黑体" w:hAnsi="黑体" w:eastAsia="黑体" w:cs="黑体"/>
          <w:color w:val="auto"/>
          <w:sz w:val="24"/>
          <w:szCs w:val="24"/>
          <w:highlight w:val="none"/>
        </w:rPr>
        <w:t>（北京时间）</w:t>
      </w:r>
      <w:r>
        <w:rPr>
          <w:rFonts w:hint="eastAsia" w:ascii="黑体" w:hAnsi="黑体" w:eastAsia="黑体" w:cs="黑体"/>
          <w:color w:val="auto"/>
          <w:sz w:val="24"/>
          <w:szCs w:val="24"/>
          <w:highlight w:val="none"/>
          <w:u w:val="single"/>
        </w:rPr>
        <w:t xml:space="preserve">开始递交投标文件，递交截止时间： </w:t>
      </w:r>
      <w:r>
        <w:rPr>
          <w:rFonts w:hint="eastAsia" w:ascii="黑体" w:hAnsi="黑体" w:eastAsia="黑体" w:cs="黑体"/>
          <w:b/>
          <w:bCs/>
          <w:color w:val="auto"/>
          <w:sz w:val="24"/>
          <w:szCs w:val="24"/>
          <w:highlight w:val="none"/>
          <w:u w:val="single"/>
        </w:rPr>
        <w:t>202</w:t>
      </w:r>
      <w:r>
        <w:rPr>
          <w:rFonts w:hint="eastAsia" w:ascii="黑体" w:hAnsi="黑体" w:eastAsia="黑体" w:cs="黑体"/>
          <w:b/>
          <w:bCs/>
          <w:color w:val="auto"/>
          <w:sz w:val="24"/>
          <w:szCs w:val="24"/>
          <w:highlight w:val="none"/>
          <w:u w:val="single"/>
          <w:lang w:val="en-US" w:eastAsia="zh-CN"/>
        </w:rPr>
        <w:t>4</w:t>
      </w:r>
      <w:r>
        <w:rPr>
          <w:rFonts w:hint="eastAsia" w:ascii="黑体" w:hAnsi="黑体" w:eastAsia="黑体" w:cs="黑体"/>
          <w:b/>
          <w:bCs/>
          <w:color w:val="auto"/>
          <w:sz w:val="24"/>
          <w:szCs w:val="24"/>
          <w:highlight w:val="none"/>
          <w:u w:val="single"/>
        </w:rPr>
        <w:t>年</w:t>
      </w:r>
      <w:r>
        <w:rPr>
          <w:rFonts w:hint="eastAsia" w:ascii="黑体" w:hAnsi="黑体" w:eastAsia="黑体" w:cs="黑体"/>
          <w:b/>
          <w:bCs/>
          <w:color w:val="auto"/>
          <w:sz w:val="24"/>
          <w:szCs w:val="24"/>
          <w:highlight w:val="none"/>
          <w:u w:val="single"/>
          <w:lang w:val="en-US" w:eastAsia="zh-CN"/>
        </w:rPr>
        <w:t>10</w:t>
      </w:r>
      <w:r>
        <w:rPr>
          <w:rFonts w:hint="eastAsia" w:ascii="黑体" w:hAnsi="黑体" w:eastAsia="黑体" w:cs="黑体"/>
          <w:b/>
          <w:bCs/>
          <w:color w:val="auto"/>
          <w:sz w:val="24"/>
          <w:szCs w:val="24"/>
          <w:highlight w:val="none"/>
          <w:u w:val="single"/>
        </w:rPr>
        <w:t>月</w:t>
      </w:r>
      <w:r>
        <w:rPr>
          <w:rFonts w:hint="eastAsia" w:ascii="黑体" w:hAnsi="黑体" w:eastAsia="黑体" w:cs="黑体"/>
          <w:b/>
          <w:bCs/>
          <w:color w:val="auto"/>
          <w:sz w:val="24"/>
          <w:szCs w:val="24"/>
          <w:highlight w:val="none"/>
          <w:u w:val="single"/>
          <w:lang w:val="en-US" w:eastAsia="zh-CN"/>
        </w:rPr>
        <w:t>21</w:t>
      </w:r>
      <w:r>
        <w:rPr>
          <w:rFonts w:hint="eastAsia" w:ascii="黑体" w:hAnsi="黑体" w:eastAsia="黑体" w:cs="黑体"/>
          <w:b/>
          <w:bCs/>
          <w:color w:val="auto"/>
          <w:sz w:val="24"/>
          <w:szCs w:val="24"/>
          <w:highlight w:val="none"/>
          <w:u w:val="single"/>
        </w:rPr>
        <w:t>日 14 点00 分</w:t>
      </w:r>
      <w:r>
        <w:rPr>
          <w:rFonts w:hint="eastAsia" w:ascii="黑体" w:hAnsi="黑体" w:eastAsia="黑体" w:cs="黑体"/>
          <w:color w:val="auto"/>
          <w:sz w:val="24"/>
          <w:szCs w:val="24"/>
          <w:highlight w:val="none"/>
        </w:rPr>
        <w:t>（北京时间），逾期送达将作无效响应处理。</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2、开标地点：</w:t>
      </w:r>
      <w:r>
        <w:rPr>
          <w:rFonts w:hint="default" w:ascii="黑体" w:hAnsi="黑体" w:eastAsia="黑体" w:cs="黑体"/>
          <w:color w:val="auto"/>
          <w:sz w:val="24"/>
          <w:szCs w:val="24"/>
          <w:highlight w:val="none"/>
        </w:rPr>
        <w:t>南通</w:t>
      </w:r>
      <w:r>
        <w:rPr>
          <w:rFonts w:hint="eastAsia" w:ascii="黑体" w:hAnsi="黑体" w:eastAsia="黑体" w:cs="黑体"/>
          <w:color w:val="auto"/>
          <w:sz w:val="24"/>
          <w:szCs w:val="24"/>
          <w:highlight w:val="none"/>
          <w:lang w:eastAsia="zh-CN"/>
        </w:rPr>
        <w:t>开发区宏兴路</w:t>
      </w:r>
      <w:r>
        <w:rPr>
          <w:rFonts w:hint="eastAsia" w:ascii="黑体" w:hAnsi="黑体" w:eastAsia="黑体" w:cs="黑体"/>
          <w:color w:val="auto"/>
          <w:sz w:val="24"/>
          <w:szCs w:val="24"/>
          <w:highlight w:val="none"/>
          <w:lang w:val="en-US" w:eastAsia="zh-CN"/>
        </w:rPr>
        <w:t>9号，能达大厦1718室</w:t>
      </w:r>
      <w:r>
        <w:rPr>
          <w:rFonts w:hint="default" w:ascii="黑体" w:hAnsi="黑体" w:eastAsia="黑体" w:cs="黑体"/>
          <w:color w:val="auto"/>
          <w:sz w:val="24"/>
          <w:szCs w:val="24"/>
          <w:highlight w:val="none"/>
          <w:lang w:eastAsia="zh-CN"/>
        </w:rPr>
        <w:t>；</w:t>
      </w:r>
    </w:p>
    <w:p>
      <w:pPr>
        <w:pStyle w:val="21"/>
        <w:shd w:val="clear"/>
        <w:spacing w:line="360" w:lineRule="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五、开启</w:t>
      </w:r>
    </w:p>
    <w:p>
      <w:pPr>
        <w:pStyle w:val="21"/>
        <w:shd w:val="clear"/>
        <w:rPr>
          <w:rFonts w:hint="eastAsia" w:ascii="黑体" w:hAnsi="黑体" w:eastAsia="黑体" w:cs="黑体"/>
          <w:color w:val="auto"/>
          <w:sz w:val="28"/>
          <w:szCs w:val="28"/>
          <w:highlight w:val="none"/>
          <w:u w:val="single"/>
        </w:rPr>
      </w:pPr>
      <w:r>
        <w:rPr>
          <w:rFonts w:hint="eastAsia" w:ascii="黑体" w:hAnsi="黑体" w:eastAsia="黑体" w:cs="黑体"/>
          <w:color w:val="auto"/>
          <w:sz w:val="24"/>
          <w:szCs w:val="24"/>
          <w:highlight w:val="none"/>
        </w:rPr>
        <w:t>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10</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21</w:t>
      </w:r>
      <w:r>
        <w:rPr>
          <w:rFonts w:hint="eastAsia" w:ascii="黑体" w:hAnsi="黑体" w:eastAsia="黑体" w:cs="黑体"/>
          <w:b/>
          <w:bCs/>
          <w:color w:val="auto"/>
          <w:sz w:val="24"/>
          <w:szCs w:val="24"/>
          <w:highlight w:val="none"/>
        </w:rPr>
        <w:t>日 14点 00 分</w:t>
      </w:r>
      <w:r>
        <w:rPr>
          <w:rFonts w:hint="eastAsia" w:ascii="黑体" w:hAnsi="黑体" w:eastAsia="黑体" w:cs="黑体"/>
          <w:color w:val="auto"/>
          <w:sz w:val="24"/>
          <w:szCs w:val="24"/>
          <w:highlight w:val="none"/>
        </w:rPr>
        <w:t>（北京时间）</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地点：</w:t>
      </w:r>
      <w:r>
        <w:rPr>
          <w:rFonts w:hint="default" w:ascii="黑体" w:hAnsi="黑体" w:eastAsia="黑体" w:cs="黑体"/>
          <w:color w:val="auto"/>
          <w:sz w:val="24"/>
          <w:szCs w:val="24"/>
          <w:highlight w:val="none"/>
        </w:rPr>
        <w:t>南通</w:t>
      </w:r>
      <w:r>
        <w:rPr>
          <w:rFonts w:hint="eastAsia" w:ascii="黑体" w:hAnsi="黑体" w:eastAsia="黑体" w:cs="黑体"/>
          <w:color w:val="auto"/>
          <w:sz w:val="24"/>
          <w:szCs w:val="24"/>
          <w:highlight w:val="none"/>
          <w:lang w:eastAsia="zh-CN"/>
        </w:rPr>
        <w:t>开发区宏兴路</w:t>
      </w:r>
      <w:r>
        <w:rPr>
          <w:rFonts w:hint="eastAsia" w:ascii="黑体" w:hAnsi="黑体" w:eastAsia="黑体" w:cs="黑体"/>
          <w:color w:val="auto"/>
          <w:sz w:val="24"/>
          <w:szCs w:val="24"/>
          <w:highlight w:val="none"/>
          <w:lang w:val="en-US" w:eastAsia="zh-CN"/>
        </w:rPr>
        <w:t>9号，能达大厦1718室</w:t>
      </w:r>
      <w:r>
        <w:rPr>
          <w:rFonts w:hint="default" w:ascii="黑体" w:hAnsi="黑体" w:eastAsia="黑体" w:cs="黑体"/>
          <w:color w:val="auto"/>
          <w:sz w:val="24"/>
          <w:szCs w:val="24"/>
          <w:highlight w:val="none"/>
          <w:lang w:eastAsia="zh-CN"/>
        </w:rPr>
        <w:t>；</w:t>
      </w:r>
    </w:p>
    <w:p>
      <w:pPr>
        <w:pStyle w:val="21"/>
        <w:shd w:val="clear"/>
        <w:snapToGrid w:val="0"/>
        <w:spacing w:line="520" w:lineRule="exact"/>
        <w:contextualSpacing/>
        <w:rPr>
          <w:rFonts w:hint="eastAsia" w:ascii="黑体" w:hAnsi="黑体" w:eastAsia="黑体" w:cs="黑体"/>
          <w:b/>
          <w:bCs/>
          <w:color w:val="auto"/>
          <w:sz w:val="24"/>
          <w:highlight w:val="none"/>
          <w:lang w:val="en-US" w:eastAsia="zh-CN"/>
        </w:rPr>
      </w:pPr>
      <w:r>
        <w:rPr>
          <w:rFonts w:hint="eastAsia" w:ascii="黑体" w:hAnsi="黑体" w:eastAsia="黑体" w:cs="黑体"/>
          <w:b/>
          <w:bCs/>
          <w:color w:val="auto"/>
          <w:sz w:val="24"/>
          <w:szCs w:val="24"/>
          <w:highlight w:val="none"/>
        </w:rPr>
        <w:t>六、</w:t>
      </w:r>
      <w:r>
        <w:rPr>
          <w:rFonts w:hint="eastAsia" w:ascii="黑体" w:hAnsi="黑体" w:eastAsia="黑体" w:cs="黑体"/>
          <w:b/>
          <w:bCs/>
          <w:color w:val="auto"/>
          <w:sz w:val="24"/>
          <w:szCs w:val="24"/>
          <w:highlight w:val="none"/>
          <w:lang w:val="en-US" w:eastAsia="zh-CN"/>
        </w:rPr>
        <w:t>磋商保证金</w:t>
      </w:r>
    </w:p>
    <w:p>
      <w:pPr>
        <w:pStyle w:val="21"/>
        <w:shd w:val="clear"/>
        <w:snapToGrid w:val="0"/>
        <w:spacing w:line="520" w:lineRule="exact"/>
        <w:ind w:firstLine="482" w:firstLineChars="200"/>
        <w:contextualSpacing/>
        <w:rPr>
          <w:rFonts w:hint="eastAsia" w:ascii="黑体" w:hAnsi="黑体" w:eastAsia="黑体" w:cs="黑体"/>
          <w:b/>
          <w:bCs/>
          <w:color w:val="auto"/>
          <w:highlight w:val="none"/>
          <w:lang w:val="en-US" w:eastAsia="zh-CN"/>
        </w:rPr>
      </w:pPr>
      <w:r>
        <w:rPr>
          <w:rFonts w:hint="eastAsia" w:ascii="黑体" w:hAnsi="黑体" w:eastAsia="黑体" w:cs="黑体"/>
          <w:b/>
          <w:bCs/>
          <w:color w:val="auto"/>
          <w:sz w:val="24"/>
          <w:highlight w:val="none"/>
          <w:lang w:val="en-US" w:eastAsia="zh-CN"/>
        </w:rPr>
        <w:t>本项目不收取</w:t>
      </w:r>
    </w:p>
    <w:p>
      <w:pPr>
        <w:pStyle w:val="21"/>
        <w:shd w:val="clear"/>
        <w:spacing w:line="360" w:lineRule="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七、其他补充事宜</w:t>
      </w:r>
    </w:p>
    <w:p>
      <w:pPr>
        <w:pStyle w:val="21"/>
        <w:shd w:val="clear"/>
        <w:snapToGrid w:val="0"/>
        <w:spacing w:before="120" w:after="120" w:line="360" w:lineRule="auto"/>
        <w:contextualSpacing/>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1、本项目的采购人其他资格要求、项目需求、评分标准，均由采购人提出。相关的询问、质疑，请直接向采购人提出，并由采购人负责答复。</w:t>
      </w:r>
    </w:p>
    <w:p>
      <w:pPr>
        <w:pStyle w:val="21"/>
        <w:widowControl/>
        <w:shd w:val="clear" w:color="auto"/>
        <w:rPr>
          <w:rFonts w:hint="eastAsia" w:ascii="黑体" w:hAnsi="黑体" w:eastAsia="黑体" w:cs="黑体"/>
          <w:color w:val="auto"/>
          <w:kern w:val="0"/>
          <w:sz w:val="24"/>
          <w:szCs w:val="24"/>
          <w:highlight w:val="none"/>
        </w:rPr>
      </w:pPr>
      <w:r>
        <w:rPr>
          <w:rFonts w:hint="eastAsia" w:ascii="黑体" w:hAnsi="黑体" w:eastAsia="黑体" w:cs="黑体"/>
          <w:color w:val="auto"/>
          <w:sz w:val="24"/>
          <w:szCs w:val="24"/>
          <w:highlight w:val="none"/>
        </w:rPr>
        <w:t>2、拒绝以下磋商供应商参与投标：</w:t>
      </w:r>
    </w:p>
    <w:p>
      <w:pPr>
        <w:pStyle w:val="21"/>
        <w:widowControl/>
        <w:shd w:val="clear" w:color="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磋商供应商之间存在下列互为关联关系的情形之一的，不得同时参加本项目投标：</w:t>
      </w:r>
    </w:p>
    <w:p>
      <w:pPr>
        <w:pStyle w:val="21"/>
        <w:widowControl/>
        <w:shd w:val="clear" w:color="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 法定代表人为同一人的两个及两个以上法人；</w:t>
      </w:r>
    </w:p>
    <w:p>
      <w:pPr>
        <w:pStyle w:val="20"/>
        <w:shd w:val="clear"/>
        <w:jc w:val="both"/>
        <w:rPr>
          <w:rFonts w:hint="eastAsia" w:ascii="黑体" w:hAnsi="黑体" w:eastAsia="黑体" w:cs="黑体"/>
          <w:color w:val="auto"/>
          <w:highlight w:val="none"/>
        </w:rPr>
      </w:pPr>
      <w:r>
        <w:rPr>
          <w:rFonts w:hint="eastAsia" w:ascii="黑体" w:hAnsi="黑体" w:eastAsia="黑体" w:cs="黑体"/>
          <w:color w:val="auto"/>
          <w:highlight w:val="none"/>
        </w:rPr>
        <w:t>(2) 母公司、直接或间接持股50％及以上的被投资公司；</w:t>
      </w:r>
    </w:p>
    <w:p>
      <w:pPr>
        <w:pStyle w:val="21"/>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3、到现场磋商时，请考虑路途拥堵、停车困难等情况，适当提前到达。</w:t>
      </w:r>
    </w:p>
    <w:p>
      <w:pPr>
        <w:pStyle w:val="21"/>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4、有关本次磋商的事项若存在澄清或修改，敬请及时关注“</w:t>
      </w:r>
      <w:r>
        <w:rPr>
          <w:rFonts w:hint="eastAsia" w:ascii="黑体" w:hAnsi="黑体" w:eastAsia="黑体" w:cs="黑体"/>
          <w:color w:val="auto"/>
          <w:kern w:val="0"/>
          <w:sz w:val="24"/>
          <w:szCs w:val="24"/>
          <w:highlight w:val="none"/>
        </w:rPr>
        <w:t>南通经济技术开发区管理委员会（http://www.netda.gov.cn/）</w:t>
      </w:r>
      <w:r>
        <w:rPr>
          <w:rFonts w:hint="eastAsia" w:ascii="黑体" w:hAnsi="黑体" w:eastAsia="黑体" w:cs="黑体"/>
          <w:color w:val="auto"/>
          <w:sz w:val="24"/>
          <w:szCs w:val="24"/>
          <w:highlight w:val="none"/>
        </w:rPr>
        <w:t>”网站发布的信息更正公告。</w:t>
      </w:r>
    </w:p>
    <w:p>
      <w:pPr>
        <w:spacing w:line="360" w:lineRule="auto"/>
        <w:jc w:val="left"/>
        <w:rPr>
          <w:rFonts w:hint="eastAsia" w:ascii="黑体" w:hAnsi="黑体" w:eastAsia="黑体" w:cs="黑体"/>
          <w:b/>
          <w:bCs/>
          <w:color w:val="auto"/>
          <w:kern w:val="2"/>
          <w:sz w:val="24"/>
          <w:szCs w:val="24"/>
          <w:highlight w:val="none"/>
          <w:lang w:val="en-US" w:eastAsia="zh-CN" w:bidi="ar-SA"/>
        </w:rPr>
      </w:pPr>
      <w:r>
        <w:rPr>
          <w:rFonts w:hint="eastAsia" w:ascii="黑体" w:hAnsi="黑体" w:eastAsia="黑体" w:cs="黑体"/>
          <w:b/>
          <w:bCs/>
          <w:color w:val="auto"/>
          <w:kern w:val="2"/>
          <w:sz w:val="24"/>
          <w:szCs w:val="24"/>
          <w:highlight w:val="none"/>
          <w:lang w:val="en-US" w:eastAsia="zh-CN" w:bidi="ar-SA"/>
        </w:rPr>
        <w:t>5、本项目每包件纸质投标文件：资格证明材料审查包（可提供一个密封袋，含一正二副）；技术商务标（可提供一个密封袋，含一正二副）；报价标（可提供一个密封袋，含一正二副）。</w:t>
      </w:r>
    </w:p>
    <w:p>
      <w:pPr>
        <w:spacing w:line="360" w:lineRule="auto"/>
        <w:ind w:firstLine="420"/>
        <w:rPr>
          <w:rFonts w:hint="eastAsia" w:ascii="黑体" w:hAnsi="黑体" w:eastAsia="黑体" w:cs="黑体"/>
          <w:b/>
          <w:bCs/>
          <w:color w:val="auto"/>
          <w:kern w:val="0"/>
          <w:sz w:val="24"/>
          <w:szCs w:val="24"/>
          <w:highlight w:val="none"/>
          <w:u w:val="single"/>
          <w:lang w:val="en-US" w:eastAsia="zh-CN" w:bidi="ar-SA"/>
        </w:rPr>
      </w:pPr>
      <w:r>
        <w:rPr>
          <w:rFonts w:hint="eastAsia" w:ascii="黑体" w:hAnsi="黑体" w:eastAsia="黑体" w:cs="黑体"/>
          <w:b/>
          <w:bCs/>
          <w:color w:val="auto"/>
          <w:kern w:val="0"/>
          <w:sz w:val="24"/>
          <w:szCs w:val="24"/>
          <w:highlight w:val="none"/>
          <w:u w:val="single"/>
          <w:lang w:val="en-US" w:eastAsia="zh-CN" w:bidi="ar-SA"/>
        </w:rPr>
        <w:t>说明：投标单位每个包件均可以投标；若包件1和包件2同时投标的，两个包件的资格审查资料包和商务技术标包各只需提供一个包即可，但密封袋上须标明采购人名称、项目名称及所投包件号、投标人名称，加盖投标人公章。</w:t>
      </w:r>
    </w:p>
    <w:p>
      <w:pPr>
        <w:pStyle w:val="21"/>
        <w:shd w:val="clear"/>
        <w:spacing w:line="360" w:lineRule="auto"/>
        <w:rPr>
          <w:rFonts w:hint="eastAsia" w:ascii="黑体" w:hAnsi="黑体" w:eastAsia="黑体" w:cs="黑体"/>
          <w:b/>
          <w:bCs/>
          <w:color w:val="auto"/>
          <w:kern w:val="0"/>
          <w:sz w:val="24"/>
          <w:szCs w:val="24"/>
          <w:highlight w:val="none"/>
        </w:rPr>
      </w:pPr>
      <w:r>
        <w:rPr>
          <w:rFonts w:hint="eastAsia" w:ascii="黑体" w:hAnsi="黑体" w:eastAsia="黑体" w:cs="黑体"/>
          <w:b/>
          <w:bCs/>
          <w:color w:val="auto"/>
          <w:sz w:val="24"/>
          <w:szCs w:val="24"/>
          <w:highlight w:val="none"/>
        </w:rPr>
        <w:t>七、凡对本次采购提出询问，请按以下方式联系。</w:t>
      </w:r>
    </w:p>
    <w:p>
      <w:pPr>
        <w:pStyle w:val="21"/>
        <w:shd w:val="clear"/>
        <w:spacing w:line="46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1.采购人信息</w:t>
      </w:r>
    </w:p>
    <w:p>
      <w:pPr>
        <w:pStyle w:val="21"/>
        <w:shd w:val="clear"/>
        <w:spacing w:line="46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名    称：</w:t>
      </w:r>
      <w:r>
        <w:rPr>
          <w:rFonts w:hint="eastAsia" w:ascii="黑体" w:hAnsi="黑体" w:eastAsia="黑体" w:cs="黑体"/>
          <w:color w:val="auto"/>
          <w:sz w:val="24"/>
          <w:szCs w:val="24"/>
          <w:highlight w:val="none"/>
          <w:lang w:eastAsia="zh-CN"/>
        </w:rPr>
        <w:t>南通经济技术开发区总工会</w:t>
      </w:r>
      <w:r>
        <w:rPr>
          <w:rFonts w:hint="eastAsia" w:ascii="黑体" w:hAnsi="黑体" w:eastAsia="黑体" w:cs="黑体"/>
          <w:color w:val="auto"/>
          <w:sz w:val="24"/>
          <w:szCs w:val="24"/>
          <w:highlight w:val="none"/>
        </w:rPr>
        <w:t xml:space="preserve">  </w:t>
      </w:r>
    </w:p>
    <w:p>
      <w:pPr>
        <w:pStyle w:val="21"/>
        <w:widowControl/>
        <w:shd w:val="clear" w:color="auto"/>
        <w:spacing w:line="360" w:lineRule="auto"/>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地    址：南通市经济技术开发区</w:t>
      </w:r>
      <w:r>
        <w:rPr>
          <w:rFonts w:hint="eastAsia" w:ascii="黑体" w:hAnsi="黑体" w:eastAsia="黑体" w:cs="黑体"/>
          <w:color w:val="auto"/>
          <w:sz w:val="24"/>
          <w:szCs w:val="24"/>
          <w:highlight w:val="none"/>
          <w:lang w:val="en-US" w:eastAsia="zh-CN"/>
        </w:rPr>
        <w:t>宏兴路9号</w:t>
      </w:r>
    </w:p>
    <w:p>
      <w:pPr>
        <w:pStyle w:val="21"/>
        <w:shd w:val="clear"/>
        <w:spacing w:line="46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联 系 方 式：</w:t>
      </w:r>
      <w:r>
        <w:rPr>
          <w:rFonts w:hint="eastAsia" w:ascii="黑体" w:hAnsi="黑体" w:eastAsia="黑体" w:cs="黑体"/>
          <w:color w:val="auto"/>
          <w:sz w:val="24"/>
          <w:szCs w:val="24"/>
          <w:highlight w:val="none"/>
          <w:lang w:val="en-US" w:eastAsia="zh-CN"/>
        </w:rPr>
        <w:t>王女士</w:t>
      </w:r>
      <w:r>
        <w:rPr>
          <w:rFonts w:hint="eastAsia" w:ascii="黑体" w:hAnsi="黑体" w:eastAsia="黑体" w:cs="黑体"/>
          <w:color w:val="auto"/>
          <w:sz w:val="24"/>
          <w:szCs w:val="24"/>
          <w:highlight w:val="none"/>
        </w:rPr>
        <w:t>，0513-83590185</w:t>
      </w:r>
      <w:bookmarkStart w:id="4" w:name="_GoBack"/>
      <w:bookmarkEnd w:id="4"/>
      <w:r>
        <w:rPr>
          <w:rFonts w:hint="eastAsia" w:ascii="黑体" w:hAnsi="黑体" w:eastAsia="黑体" w:cs="黑体"/>
          <w:color w:val="auto"/>
          <w:sz w:val="24"/>
          <w:szCs w:val="24"/>
          <w:highlight w:val="none"/>
        </w:rPr>
        <w:t xml:space="preserve"> </w:t>
      </w:r>
    </w:p>
    <w:p>
      <w:pPr>
        <w:pStyle w:val="21"/>
        <w:shd w:val="clear"/>
        <w:spacing w:line="46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2.采购代理机构信息</w:t>
      </w:r>
    </w:p>
    <w:p>
      <w:pPr>
        <w:pStyle w:val="21"/>
        <w:shd w:val="clear"/>
        <w:spacing w:line="460" w:lineRule="exact"/>
        <w:ind w:firstLine="480" w:firstLineChars="200"/>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名    称：</w:t>
      </w:r>
      <w:r>
        <w:rPr>
          <w:rFonts w:hint="eastAsia" w:ascii="黑体" w:hAnsi="黑体" w:eastAsia="黑体" w:cs="黑体"/>
          <w:color w:val="auto"/>
          <w:sz w:val="24"/>
          <w:szCs w:val="24"/>
          <w:highlight w:val="none"/>
          <w:lang w:eastAsia="zh-CN"/>
        </w:rPr>
        <w:t>南通润通项目管理有限公司</w:t>
      </w:r>
    </w:p>
    <w:p>
      <w:pPr>
        <w:pStyle w:val="21"/>
        <w:shd w:val="clear"/>
        <w:spacing w:line="46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地   址：南通市开发区长通路9号飞马国际中心A座</w:t>
      </w:r>
      <w:r>
        <w:rPr>
          <w:rFonts w:hint="eastAsia" w:ascii="黑体" w:hAnsi="黑体" w:eastAsia="黑体" w:cs="黑体"/>
          <w:color w:val="auto"/>
          <w:sz w:val="24"/>
          <w:szCs w:val="24"/>
          <w:highlight w:val="none"/>
          <w:lang w:val="en-US" w:eastAsia="zh-CN"/>
        </w:rPr>
        <w:t>1408</w:t>
      </w:r>
      <w:r>
        <w:rPr>
          <w:rFonts w:hint="eastAsia" w:ascii="黑体" w:hAnsi="黑体" w:eastAsia="黑体" w:cs="黑体"/>
          <w:color w:val="auto"/>
          <w:sz w:val="24"/>
          <w:szCs w:val="24"/>
          <w:highlight w:val="none"/>
        </w:rPr>
        <w:t>室</w:t>
      </w:r>
    </w:p>
    <w:p>
      <w:pPr>
        <w:pStyle w:val="21"/>
        <w:shd w:val="clear"/>
        <w:spacing w:line="460" w:lineRule="exact"/>
        <w:ind w:firstLine="480" w:firstLineChars="200"/>
        <w:rPr>
          <w:rFonts w:hint="eastAsia" w:ascii="黑体" w:hAnsi="黑体" w:eastAsia="黑体" w:cs="黑体"/>
          <w:b/>
          <w:bCs/>
          <w:color w:val="auto"/>
          <w:sz w:val="32"/>
          <w:szCs w:val="32"/>
          <w:highlight w:val="none"/>
        </w:rPr>
      </w:pPr>
      <w:r>
        <w:rPr>
          <w:rFonts w:hint="eastAsia" w:ascii="黑体" w:hAnsi="黑体" w:eastAsia="黑体" w:cs="黑体"/>
          <w:color w:val="auto"/>
          <w:sz w:val="24"/>
          <w:szCs w:val="24"/>
          <w:highlight w:val="none"/>
        </w:rPr>
        <w:t>联 系 方 式：</w:t>
      </w:r>
      <w:r>
        <w:rPr>
          <w:rFonts w:hint="eastAsia" w:ascii="黑体" w:hAnsi="黑体" w:eastAsia="黑体" w:cs="黑体"/>
          <w:color w:val="auto"/>
          <w:sz w:val="24"/>
          <w:szCs w:val="24"/>
          <w:highlight w:val="none"/>
          <w:lang w:val="en-US" w:eastAsia="zh-CN"/>
        </w:rPr>
        <w:t>19812255667</w:t>
      </w:r>
      <w:r>
        <w:rPr>
          <w:rFonts w:hint="eastAsia" w:ascii="黑体" w:hAnsi="黑体" w:eastAsia="黑体" w:cs="黑体"/>
          <w:color w:val="auto"/>
          <w:sz w:val="24"/>
          <w:szCs w:val="24"/>
          <w:highlight w:val="none"/>
        </w:rPr>
        <w:t xml:space="preserve"> </w:t>
      </w:r>
      <w:r>
        <w:rPr>
          <w:rFonts w:hint="eastAsia" w:ascii="黑体" w:hAnsi="黑体" w:eastAsia="黑体" w:cs="黑体"/>
          <w:color w:val="auto"/>
          <w:highlight w:val="none"/>
        </w:rPr>
        <w:br w:type="page"/>
      </w:r>
    </w:p>
    <w:p>
      <w:pPr>
        <w:pStyle w:val="21"/>
        <w:shd w:val="clear"/>
        <w:spacing w:line="460" w:lineRule="exact"/>
        <w:jc w:val="center"/>
        <w:rPr>
          <w:rFonts w:hint="eastAsia" w:ascii="黑体" w:hAnsi="黑体" w:eastAsia="黑体" w:cs="黑体"/>
          <w:color w:val="auto"/>
          <w:sz w:val="24"/>
          <w:szCs w:val="24"/>
          <w:highlight w:val="none"/>
        </w:rPr>
      </w:pPr>
      <w:r>
        <w:rPr>
          <w:rFonts w:hint="eastAsia" w:ascii="黑体" w:hAnsi="黑体" w:eastAsia="黑体" w:cs="黑体"/>
          <w:b/>
          <w:bCs/>
          <w:color w:val="auto"/>
          <w:sz w:val="32"/>
          <w:szCs w:val="32"/>
          <w:highlight w:val="none"/>
        </w:rPr>
        <w:t>第二章   磋商须知</w:t>
      </w:r>
    </w:p>
    <w:p>
      <w:pPr>
        <w:pStyle w:val="21"/>
        <w:shd w:val="clear"/>
        <w:spacing w:before="120" w:after="120" w:line="360" w:lineRule="auto"/>
        <w:jc w:val="center"/>
        <w:rPr>
          <w:rFonts w:hint="eastAsia" w:ascii="黑体" w:hAnsi="黑体" w:eastAsia="黑体" w:cs="黑体"/>
          <w:b/>
          <w:bCs/>
          <w:color w:val="auto"/>
          <w:sz w:val="24"/>
          <w:szCs w:val="24"/>
          <w:highlight w:val="none"/>
        </w:rPr>
      </w:pPr>
      <w:r>
        <w:rPr>
          <w:rFonts w:hint="eastAsia" w:ascii="黑体" w:hAnsi="黑体" w:eastAsia="黑体" w:cs="黑体"/>
          <w:color w:val="auto"/>
          <w:sz w:val="24"/>
          <w:szCs w:val="24"/>
          <w:highlight w:val="none"/>
        </w:rPr>
        <w:t>（参加竞争性磋商的供应商以下简称“磋商供应商”）</w:t>
      </w:r>
    </w:p>
    <w:p>
      <w:pPr>
        <w:pStyle w:val="21"/>
        <w:shd w:val="clear"/>
        <w:spacing w:before="120" w:after="120" w:line="360" w:lineRule="auto"/>
        <w:ind w:firstLine="482" w:firstLineChars="200"/>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一、总则</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1、适用范围</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 本竞争性磋商文件（以下简称磋商文件）仅适用此项目。</w:t>
      </w:r>
    </w:p>
    <w:p>
      <w:pPr>
        <w:pStyle w:val="21"/>
        <w:shd w:val="clear"/>
        <w:spacing w:line="360" w:lineRule="auto"/>
        <w:ind w:firstLine="480" w:firstLineChars="200"/>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 xml:space="preserve">1.2 </w:t>
      </w:r>
      <w:r>
        <w:rPr>
          <w:rFonts w:hint="eastAsia" w:ascii="黑体" w:hAnsi="黑体" w:eastAsia="黑体" w:cs="黑体"/>
          <w:color w:val="auto"/>
          <w:sz w:val="24"/>
          <w:szCs w:val="24"/>
          <w:highlight w:val="none"/>
          <w:lang w:val="en-US" w:eastAsia="zh-CN"/>
        </w:rPr>
        <w:t>本项目不接受分包或转包。</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2、项目采购方式</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本次采购采取竞争性磋商的方式。</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3、合格的磋商供应商</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3.1满足本磋商文件“竞争性磋商采购邀请”中合格磋商供应商资格要求的规定。</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3.2 满足本磋商文件实质性要求和条件的规定。</w:t>
      </w:r>
      <w:r>
        <w:rPr>
          <w:rFonts w:hint="eastAsia" w:ascii="黑体" w:hAnsi="黑体" w:eastAsia="黑体" w:cs="黑体"/>
          <w:color w:val="auto"/>
          <w:sz w:val="24"/>
          <w:szCs w:val="24"/>
          <w:highlight w:val="none"/>
        </w:rPr>
        <w:tab/>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4、参加磋商费用</w:t>
      </w:r>
    </w:p>
    <w:p>
      <w:pPr>
        <w:pStyle w:val="21"/>
        <w:shd w:val="clear"/>
        <w:spacing w:line="360" w:lineRule="auto"/>
        <w:ind w:firstLine="480" w:firstLineChars="200"/>
        <w:rPr>
          <w:rFonts w:hint="eastAsia" w:ascii="黑体" w:hAnsi="黑体" w:eastAsia="黑体" w:cs="黑体"/>
          <w:b/>
          <w:bCs/>
          <w:color w:val="auto"/>
          <w:sz w:val="24"/>
          <w:szCs w:val="24"/>
          <w:highlight w:val="none"/>
        </w:rPr>
      </w:pPr>
      <w:r>
        <w:rPr>
          <w:rFonts w:hint="eastAsia" w:ascii="黑体" w:hAnsi="黑体" w:eastAsia="黑体" w:cs="黑体"/>
          <w:color w:val="auto"/>
          <w:sz w:val="24"/>
          <w:szCs w:val="24"/>
          <w:highlight w:val="none"/>
        </w:rPr>
        <w:t>4.1、</w:t>
      </w:r>
      <w:r>
        <w:rPr>
          <w:rFonts w:hint="eastAsia" w:ascii="黑体" w:hAnsi="黑体" w:eastAsia="黑体" w:cs="黑体"/>
          <w:b/>
          <w:bCs/>
          <w:color w:val="auto"/>
          <w:sz w:val="24"/>
          <w:szCs w:val="24"/>
          <w:highlight w:val="none"/>
        </w:rPr>
        <w:t>供应商响应文件供应商应承担其编制磋商文件以及递交磋商文件所涉及的一切费用，磋商文件每套售价</w:t>
      </w:r>
      <w:r>
        <w:rPr>
          <w:rFonts w:hint="eastAsia" w:ascii="黑体" w:hAnsi="黑体" w:eastAsia="黑体" w:cs="黑体"/>
          <w:b/>
          <w:bCs/>
          <w:color w:val="auto"/>
          <w:sz w:val="24"/>
          <w:szCs w:val="24"/>
          <w:highlight w:val="none"/>
          <w:lang w:val="en-US" w:eastAsia="zh-CN"/>
        </w:rPr>
        <w:t>1</w:t>
      </w:r>
      <w:r>
        <w:rPr>
          <w:rFonts w:hint="eastAsia" w:ascii="黑体" w:hAnsi="黑体" w:eastAsia="黑体" w:cs="黑体"/>
          <w:b/>
          <w:bCs/>
          <w:color w:val="auto"/>
          <w:sz w:val="24"/>
          <w:szCs w:val="24"/>
          <w:highlight w:val="none"/>
        </w:rPr>
        <w:t>00元，</w:t>
      </w:r>
      <w:r>
        <w:rPr>
          <w:rFonts w:hint="eastAsia" w:ascii="黑体" w:hAnsi="黑体" w:eastAsia="黑体" w:cs="黑体"/>
          <w:b/>
          <w:bCs/>
          <w:color w:val="auto"/>
          <w:sz w:val="23"/>
          <w:szCs w:val="23"/>
          <w:highlight w:val="none"/>
        </w:rPr>
        <w:t>递交投标文件时同时递交</w:t>
      </w:r>
      <w:r>
        <w:rPr>
          <w:rFonts w:hint="eastAsia" w:ascii="黑体" w:hAnsi="黑体" w:eastAsia="黑体" w:cs="黑体"/>
          <w:b/>
          <w:bCs/>
          <w:color w:val="auto"/>
          <w:sz w:val="24"/>
          <w:szCs w:val="24"/>
          <w:highlight w:val="none"/>
        </w:rPr>
        <w:t>，否则视为放弃投标权利处理。无论投标结果如何，采购人对上述费用不负任何责任。</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5、磋商文件的约束力</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供应商一旦下载了本磋商文件并决定参加磋商，即被认为接受了本磋商文件的规定和约束，并且视为自竞争性磋商公告期限届满之日起已经知道或应当知道自身权益是否受到了损害。</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6、磋商文件的询问及修改</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6.1任何要求对磋商文件进行询问的供应商，均应在本磋商文件公告期限届满之日内以电子文件形式（不具单位名称）发送至runtong20210163@163.com邮箱向采购人或代理机构提出。提交首次响应文件截止之日前，代理机构可以对已发出的磋商文件进行必要的澄清或者修改，澄清或者修改的内容作为磋商文件的组成部分。澄清或者修改的内容可能影响响应文件编制的，代理机构将在提交首次响应文件截止时间至少</w:t>
      </w:r>
      <w:r>
        <w:rPr>
          <w:rFonts w:hint="eastAsia" w:ascii="黑体" w:hAnsi="黑体" w:eastAsia="黑体" w:cs="黑体"/>
          <w:color w:val="auto"/>
          <w:sz w:val="24"/>
          <w:szCs w:val="24"/>
          <w:highlight w:val="none"/>
          <w:lang w:val="en-US" w:eastAsia="zh-CN"/>
        </w:rPr>
        <w:t>一</w:t>
      </w:r>
      <w:r>
        <w:rPr>
          <w:rFonts w:hint="eastAsia" w:ascii="黑体" w:hAnsi="黑体" w:eastAsia="黑体" w:cs="黑体"/>
          <w:color w:val="auto"/>
          <w:sz w:val="24"/>
          <w:szCs w:val="24"/>
          <w:highlight w:val="none"/>
        </w:rPr>
        <w:t>日前，在</w:t>
      </w:r>
      <w:r>
        <w:rPr>
          <w:rFonts w:hint="eastAsia" w:ascii="黑体" w:hAnsi="黑体" w:eastAsia="黑体" w:cs="黑体"/>
          <w:color w:val="auto"/>
          <w:kern w:val="0"/>
          <w:sz w:val="24"/>
          <w:szCs w:val="24"/>
          <w:highlight w:val="none"/>
        </w:rPr>
        <w:t>南通经济技术开发区管理委员会（http://www.netda.gov.cn/）</w:t>
      </w:r>
      <w:r>
        <w:rPr>
          <w:rFonts w:hint="eastAsia" w:ascii="黑体" w:hAnsi="黑体" w:eastAsia="黑体" w:cs="黑体"/>
          <w:color w:val="auto"/>
          <w:sz w:val="24"/>
          <w:szCs w:val="24"/>
          <w:highlight w:val="none"/>
        </w:rPr>
        <w:t>上发布书面更正公告形式通知所有获取磋商文件的供应商。不足</w:t>
      </w:r>
      <w:r>
        <w:rPr>
          <w:rFonts w:hint="eastAsia" w:ascii="黑体" w:hAnsi="黑体" w:eastAsia="黑体" w:cs="黑体"/>
          <w:color w:val="auto"/>
          <w:sz w:val="24"/>
          <w:szCs w:val="24"/>
          <w:highlight w:val="none"/>
          <w:lang w:val="en-US" w:eastAsia="zh-CN"/>
        </w:rPr>
        <w:t>一</w:t>
      </w:r>
      <w:r>
        <w:rPr>
          <w:rFonts w:hint="eastAsia" w:ascii="黑体" w:hAnsi="黑体" w:eastAsia="黑体" w:cs="黑体"/>
          <w:color w:val="auto"/>
          <w:sz w:val="24"/>
          <w:szCs w:val="24"/>
          <w:highlight w:val="none"/>
        </w:rPr>
        <w:t>日的，代理机构应当顺延提交首次响应文件截止时间。</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6.2代理机构或采购人可以视采购项目的具体情况，组织供应商进行现场考察或召开磋商前答疑会，但不单独或分别组织只有一个供应商参加的现场考察和答疑会。</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7、磋商文件的解释</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7.1 本磋商文件由代理机构负责解释。</w:t>
      </w:r>
    </w:p>
    <w:p>
      <w:pPr>
        <w:pStyle w:val="21"/>
        <w:shd w:val="clear"/>
        <w:spacing w:before="120" w:after="120" w:line="360" w:lineRule="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二、</w:t>
      </w:r>
      <w:r>
        <w:rPr>
          <w:rFonts w:hint="eastAsia" w:ascii="黑体" w:hAnsi="黑体" w:eastAsia="黑体" w:cs="黑体"/>
          <w:b/>
          <w:bCs/>
          <w:color w:val="auto"/>
          <w:sz w:val="24"/>
          <w:szCs w:val="24"/>
          <w:highlight w:val="none"/>
          <w:lang w:val="en-US" w:eastAsia="zh-CN"/>
        </w:rPr>
        <w:t>每包件的</w:t>
      </w:r>
      <w:r>
        <w:rPr>
          <w:rFonts w:hint="eastAsia" w:ascii="黑体" w:hAnsi="黑体" w:eastAsia="黑体" w:cs="黑体"/>
          <w:b/>
          <w:bCs/>
          <w:color w:val="auto"/>
          <w:sz w:val="24"/>
          <w:szCs w:val="24"/>
          <w:highlight w:val="none"/>
        </w:rPr>
        <w:t>供应商响应文件的编制</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1、磋商响应文件内容</w:t>
      </w:r>
    </w:p>
    <w:p>
      <w:pPr>
        <w:pStyle w:val="22"/>
        <w:shd w:val="clear"/>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1.1</w:t>
      </w:r>
      <w:r>
        <w:rPr>
          <w:rFonts w:hint="eastAsia" w:ascii="黑体" w:hAnsi="黑体" w:eastAsia="黑体" w:cs="黑体"/>
          <w:b/>
          <w:bCs/>
          <w:color w:val="auto"/>
          <w:sz w:val="23"/>
          <w:szCs w:val="23"/>
          <w:highlight w:val="none"/>
        </w:rPr>
        <w:t>资格审查资料包（</w:t>
      </w:r>
      <w:r>
        <w:rPr>
          <w:rFonts w:hint="eastAsia" w:ascii="黑体" w:hAnsi="黑体" w:eastAsia="黑体" w:cs="黑体"/>
          <w:b/>
          <w:bCs/>
          <w:color w:val="auto"/>
          <w:sz w:val="23"/>
          <w:szCs w:val="23"/>
          <w:highlight w:val="none"/>
          <w:lang w:eastAsia="zh-CN"/>
        </w:rPr>
        <w:t>可提供一个密封袋，含一正二副</w:t>
      </w:r>
      <w:r>
        <w:rPr>
          <w:rFonts w:hint="eastAsia" w:ascii="黑体" w:hAnsi="黑体" w:eastAsia="黑体" w:cs="黑体"/>
          <w:b/>
          <w:bCs/>
          <w:color w:val="auto"/>
          <w:sz w:val="23"/>
          <w:szCs w:val="23"/>
          <w:highlight w:val="none"/>
        </w:rPr>
        <w:t>）</w:t>
      </w:r>
    </w:p>
    <w:p>
      <w:pPr>
        <w:numPr>
          <w:ilvl w:val="0"/>
          <w:numId w:val="0"/>
        </w:numPr>
        <w:shd w:val="clear"/>
        <w:spacing w:line="360" w:lineRule="auto"/>
        <w:ind w:left="400" w:leftChars="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法人或者其他组织的营业执照等证明文件，自然人的身份证明；</w:t>
      </w:r>
    </w:p>
    <w:p>
      <w:pPr>
        <w:numPr>
          <w:ilvl w:val="0"/>
          <w:numId w:val="0"/>
        </w:numPr>
        <w:shd w:val="clear"/>
        <w:spacing w:line="360" w:lineRule="auto"/>
        <w:ind w:left="400" w:leftChars="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响应供应商符合《政府采购法》第二十二条规定条件的声明函（按后附格式）；</w:t>
      </w:r>
    </w:p>
    <w:p>
      <w:pPr>
        <w:numPr>
          <w:ilvl w:val="0"/>
          <w:numId w:val="0"/>
        </w:numPr>
        <w:shd w:val="clear"/>
        <w:spacing w:line="360" w:lineRule="auto"/>
        <w:ind w:left="400" w:leftChars="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供应商法定代表人参加的，必须提供法定代表人身份证明及法定代表人本人身份证</w:t>
      </w:r>
      <w:r>
        <w:rPr>
          <w:rFonts w:hint="eastAsia" w:ascii="黑体" w:hAnsi="黑体" w:eastAsia="黑体" w:cs="黑体"/>
          <w:color w:val="auto"/>
          <w:sz w:val="24"/>
          <w:szCs w:val="24"/>
          <w:highlight w:val="none"/>
          <w:lang w:eastAsia="zh-CN"/>
        </w:rPr>
        <w:t>原件扫描件</w:t>
      </w:r>
      <w:r>
        <w:rPr>
          <w:rFonts w:hint="eastAsia" w:ascii="黑体" w:hAnsi="黑体" w:eastAsia="黑体" w:cs="黑体"/>
          <w:color w:val="auto"/>
          <w:sz w:val="24"/>
          <w:szCs w:val="24"/>
          <w:highlight w:val="none"/>
        </w:rPr>
        <w:t>（格式参见第</w:t>
      </w:r>
      <w:r>
        <w:rPr>
          <w:rFonts w:hint="eastAsia" w:ascii="黑体" w:hAnsi="黑体" w:eastAsia="黑体" w:cs="黑体"/>
          <w:color w:val="auto"/>
          <w:sz w:val="24"/>
          <w:szCs w:val="24"/>
          <w:highlight w:val="none"/>
          <w:lang w:val="en-US" w:eastAsia="zh-CN"/>
        </w:rPr>
        <w:t>七</w:t>
      </w:r>
      <w:r>
        <w:rPr>
          <w:rFonts w:hint="eastAsia" w:ascii="黑体" w:hAnsi="黑体" w:eastAsia="黑体" w:cs="黑体"/>
          <w:color w:val="auto"/>
          <w:sz w:val="24"/>
          <w:szCs w:val="24"/>
          <w:highlight w:val="none"/>
        </w:rPr>
        <w:t>章）；非法定代表人参加的，必须提供法定代表人签字或盖章的授权委托书及法定代表人、被授权人的两人身份证的</w:t>
      </w:r>
      <w:r>
        <w:rPr>
          <w:rFonts w:hint="eastAsia" w:ascii="黑体" w:hAnsi="黑体" w:eastAsia="黑体" w:cs="黑体"/>
          <w:color w:val="auto"/>
          <w:sz w:val="24"/>
          <w:szCs w:val="24"/>
          <w:highlight w:val="none"/>
          <w:lang w:eastAsia="zh-CN"/>
        </w:rPr>
        <w:t>原件扫描件</w:t>
      </w:r>
      <w:r>
        <w:rPr>
          <w:rFonts w:hint="eastAsia" w:ascii="黑体" w:hAnsi="黑体" w:eastAsia="黑体" w:cs="黑体"/>
          <w:color w:val="auto"/>
          <w:sz w:val="24"/>
          <w:szCs w:val="24"/>
          <w:highlight w:val="none"/>
        </w:rPr>
        <w:t>（格式参见第</w:t>
      </w:r>
      <w:r>
        <w:rPr>
          <w:rFonts w:hint="eastAsia" w:ascii="黑体" w:hAnsi="黑体" w:eastAsia="黑体" w:cs="黑体"/>
          <w:color w:val="auto"/>
          <w:sz w:val="24"/>
          <w:szCs w:val="24"/>
          <w:highlight w:val="none"/>
          <w:lang w:val="en-US" w:eastAsia="zh-CN"/>
        </w:rPr>
        <w:t>七</w:t>
      </w:r>
      <w:r>
        <w:rPr>
          <w:rFonts w:hint="eastAsia" w:ascii="黑体" w:hAnsi="黑体" w:eastAsia="黑体" w:cs="黑体"/>
          <w:color w:val="auto"/>
          <w:sz w:val="24"/>
          <w:szCs w:val="24"/>
          <w:highlight w:val="none"/>
        </w:rPr>
        <w:t>章）的这两项（须加盖公章）；</w:t>
      </w:r>
    </w:p>
    <w:p>
      <w:pPr>
        <w:numPr>
          <w:ilvl w:val="0"/>
          <w:numId w:val="0"/>
        </w:numPr>
        <w:shd w:val="clear"/>
        <w:spacing w:line="360" w:lineRule="auto"/>
        <w:ind w:left="400" w:leftChars="0"/>
        <w:rPr>
          <w:rFonts w:hint="eastAsia" w:ascii="黑体" w:hAnsi="黑体" w:eastAsia="黑体" w:cs="黑体"/>
          <w:color w:val="auto"/>
          <w:highlight w:val="none"/>
        </w:rPr>
      </w:pPr>
      <w:r>
        <w:rPr>
          <w:rFonts w:hint="eastAsia" w:ascii="黑体" w:hAnsi="黑体" w:eastAsia="黑体" w:cs="黑体"/>
          <w:color w:val="auto"/>
          <w:sz w:val="24"/>
          <w:szCs w:val="24"/>
          <w:highlight w:val="none"/>
          <w:lang w:val="en-US" w:eastAsia="zh-CN"/>
        </w:rPr>
        <w:t>（4）</w:t>
      </w:r>
      <w:r>
        <w:rPr>
          <w:rFonts w:hint="eastAsia" w:ascii="黑体" w:hAnsi="黑体" w:eastAsia="黑体" w:cs="黑体"/>
          <w:color w:val="auto"/>
          <w:sz w:val="24"/>
          <w:szCs w:val="24"/>
          <w:highlight w:val="none"/>
        </w:rPr>
        <w:t>响应供应商未被“信用中国”网站（www.creditchina.gov.cn）、中国政府采购网（www.ccgp.gov.cn）、国家企业信用信息公示系统（www.gsxt.gov.cn）列入失信被执行人、重大税收违法案件当事人名单、政府采购严重违法失信行为记录名单、异常经营名录、严重违法失信企业名单；为确保政府采购守法供应商公平参加政府采购活动，采购代理机构将在开标开始后一个小时内，通过“信用中国”网站和中国政府采购网和国家企业信用信息公示系统对供应商信用信息进行查询查证，并将查询记录截屏打印保存在采购档案内。如核实未通过，经评标小组确认后资格审查不予通过。</w:t>
      </w:r>
    </w:p>
    <w:p>
      <w:pPr>
        <w:numPr>
          <w:ilvl w:val="0"/>
          <w:numId w:val="0"/>
        </w:numPr>
        <w:shd w:val="clear"/>
        <w:spacing w:line="360" w:lineRule="auto"/>
        <w:ind w:left="400" w:leftChars="0"/>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lang w:eastAsia="zh-CN"/>
        </w:rPr>
        <w:t>投标人必须经过国家司法行政主管部门合法登记注册且持有经年检合格的律师事务所执业许可证（提供合法登记注册文件及最近一年年检合格的执业许可证书原件扫描件并加盖投标人公章），且依法有效存续，总部或分支机构在南通，分所投标还须提供总所的授权书（加盖总所公章）；</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黑体" w:hAnsi="黑体" w:eastAsia="黑体" w:cs="黑体"/>
          <w:color w:val="auto"/>
          <w:sz w:val="24"/>
          <w:szCs w:val="24"/>
          <w:highlight w:val="none"/>
          <w:lang w:val="en-US" w:eastAsia="zh-CN" w:bidi="hi-I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6</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bidi="hi-IN"/>
        </w:rPr>
        <w:t>投标人同时</w:t>
      </w:r>
      <w:r>
        <w:rPr>
          <w:rFonts w:hint="default" w:ascii="黑体" w:hAnsi="黑体" w:eastAsia="黑体" w:cs="黑体"/>
          <w:color w:val="auto"/>
          <w:sz w:val="24"/>
          <w:szCs w:val="24"/>
          <w:highlight w:val="none"/>
          <w:lang w:val="en-US" w:eastAsia="zh-CN" w:bidi="hi-IN"/>
        </w:rPr>
        <w:t>具有一定规模的办公场所和完备的硬件设施，且执业律师人数不少于10人</w:t>
      </w:r>
      <w:r>
        <w:rPr>
          <w:rFonts w:hint="eastAsia" w:ascii="黑体" w:hAnsi="黑体" w:eastAsia="黑体" w:cs="黑体"/>
          <w:color w:val="auto"/>
          <w:sz w:val="24"/>
          <w:szCs w:val="24"/>
          <w:highlight w:val="none"/>
          <w:lang w:val="en-US" w:eastAsia="zh-CN" w:bidi="hi-IN"/>
        </w:rPr>
        <w:t>（提供响应以上要求的承诺书，格式自拟）</w:t>
      </w:r>
      <w:r>
        <w:rPr>
          <w:rFonts w:hint="default" w:ascii="黑体" w:hAnsi="黑体" w:eastAsia="黑体" w:cs="黑体"/>
          <w:color w:val="auto"/>
          <w:sz w:val="24"/>
          <w:szCs w:val="24"/>
          <w:highlight w:val="none"/>
          <w:lang w:val="en-US" w:eastAsia="zh-CN" w:bidi="hi-IN"/>
        </w:rPr>
        <w:t>；</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黑体" w:hAnsi="黑体" w:eastAsia="黑体" w:cs="黑体"/>
          <w:color w:val="auto"/>
          <w:sz w:val="24"/>
          <w:szCs w:val="24"/>
          <w:highlight w:val="none"/>
          <w:lang w:val="en-US" w:eastAsia="zh-CN" w:bidi="hi-IN"/>
        </w:rPr>
      </w:pPr>
      <w:r>
        <w:rPr>
          <w:rFonts w:hint="eastAsia" w:ascii="黑体" w:hAnsi="黑体" w:eastAsia="黑体" w:cs="黑体"/>
          <w:color w:val="auto"/>
          <w:sz w:val="24"/>
          <w:szCs w:val="24"/>
          <w:highlight w:val="none"/>
          <w:lang w:val="en-US" w:eastAsia="zh-CN" w:bidi="hi-IN"/>
        </w:rPr>
        <w:t>（7）</w:t>
      </w:r>
      <w:r>
        <w:rPr>
          <w:rFonts w:hint="default" w:ascii="黑体" w:hAnsi="黑体" w:eastAsia="黑体" w:cs="黑体"/>
          <w:color w:val="auto"/>
          <w:sz w:val="24"/>
          <w:szCs w:val="24"/>
          <w:highlight w:val="none"/>
          <w:lang w:val="en-US" w:eastAsia="zh-CN" w:bidi="hi-IN"/>
        </w:rPr>
        <w:t>投标人</w:t>
      </w:r>
      <w:r>
        <w:rPr>
          <w:rFonts w:hint="eastAsia" w:ascii="黑体" w:hAnsi="黑体" w:eastAsia="黑体" w:cs="黑体"/>
          <w:color w:val="auto"/>
          <w:sz w:val="24"/>
          <w:szCs w:val="24"/>
          <w:highlight w:val="none"/>
          <w:lang w:val="en-US" w:eastAsia="zh-CN" w:bidi="hi-IN"/>
        </w:rPr>
        <w:t>拟派</w:t>
      </w:r>
      <w:r>
        <w:rPr>
          <w:rFonts w:hint="default" w:ascii="黑体" w:hAnsi="黑体" w:eastAsia="黑体" w:cs="黑体"/>
          <w:color w:val="auto"/>
          <w:sz w:val="24"/>
          <w:szCs w:val="24"/>
          <w:highlight w:val="none"/>
          <w:lang w:val="en-US" w:eastAsia="zh-CN" w:bidi="hi-IN"/>
        </w:rPr>
        <w:t>的常年法律顾问服务团队不少于2人，团队成员均为专职律师。其中法律顾问服务团队的主办律师执业年限为</w:t>
      </w:r>
      <w:r>
        <w:rPr>
          <w:rFonts w:hint="eastAsia" w:ascii="黑体" w:hAnsi="黑体" w:eastAsia="黑体" w:cs="黑体"/>
          <w:color w:val="auto"/>
          <w:sz w:val="24"/>
          <w:szCs w:val="24"/>
          <w:highlight w:val="none"/>
          <w:lang w:val="en-US" w:eastAsia="zh-CN" w:bidi="hi-IN"/>
        </w:rPr>
        <w:t>5</w:t>
      </w:r>
      <w:r>
        <w:rPr>
          <w:rFonts w:hint="default" w:ascii="黑体" w:hAnsi="黑体" w:eastAsia="黑体" w:cs="黑体"/>
          <w:color w:val="auto"/>
          <w:sz w:val="24"/>
          <w:szCs w:val="24"/>
          <w:highlight w:val="none"/>
          <w:lang w:val="en-US" w:eastAsia="zh-CN" w:bidi="hi-IN"/>
        </w:rPr>
        <w:t>年以上</w:t>
      </w:r>
      <w:r>
        <w:rPr>
          <w:rFonts w:hint="eastAsia" w:ascii="黑体" w:hAnsi="黑体" w:eastAsia="黑体" w:cs="黑体"/>
          <w:color w:val="auto"/>
          <w:sz w:val="24"/>
          <w:szCs w:val="24"/>
          <w:highlight w:val="none"/>
          <w:lang w:val="en-US" w:eastAsia="zh-CN" w:bidi="hi-IN"/>
        </w:rPr>
        <w:t>；</w:t>
      </w:r>
      <w:r>
        <w:rPr>
          <w:rFonts w:hint="default" w:ascii="黑体" w:hAnsi="黑体" w:eastAsia="黑体" w:cs="黑体"/>
          <w:color w:val="auto"/>
          <w:sz w:val="24"/>
          <w:szCs w:val="24"/>
          <w:highlight w:val="none"/>
          <w:lang w:val="en-US" w:eastAsia="zh-CN" w:bidi="hi-IN"/>
        </w:rPr>
        <w:t>主办律师应具有较为丰富的经验</w:t>
      </w:r>
      <w:r>
        <w:rPr>
          <w:rFonts w:hint="eastAsia" w:ascii="黑体" w:hAnsi="黑体" w:eastAsia="黑体" w:cs="黑体"/>
          <w:color w:val="auto"/>
          <w:sz w:val="24"/>
          <w:szCs w:val="24"/>
          <w:highlight w:val="none"/>
          <w:lang w:val="en-US" w:eastAsia="zh-CN" w:bidi="hi-IN"/>
        </w:rPr>
        <w:t>，</w:t>
      </w:r>
      <w:r>
        <w:rPr>
          <w:rFonts w:hint="default" w:ascii="黑体" w:hAnsi="黑体" w:eastAsia="黑体" w:cs="黑体"/>
          <w:color w:val="auto"/>
          <w:sz w:val="24"/>
          <w:szCs w:val="24"/>
          <w:highlight w:val="none"/>
          <w:lang w:val="en-US" w:eastAsia="zh-CN" w:bidi="hi-IN"/>
        </w:rPr>
        <w:t>同等条件下，有为工会、党委、政府或企业服务经验。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highlight w:val="none"/>
          <w:lang w:val="en-US" w:eastAsia="zh-CN"/>
        </w:rPr>
      </w:pPr>
      <w:r>
        <w:rPr>
          <w:rFonts w:hint="eastAsia" w:ascii="黑体" w:hAnsi="黑体" w:eastAsia="黑体" w:cs="黑体"/>
          <w:color w:val="auto"/>
          <w:sz w:val="24"/>
          <w:szCs w:val="24"/>
          <w:highlight w:val="none"/>
          <w:lang w:val="en-US" w:eastAsia="zh-CN" w:bidi="hi-IN"/>
        </w:rPr>
        <w:t>以上提供所有拟派律师的律师证书、主办律师除提供律师证书外，还需提供简历以及参与类似本项目案件的业绩证明材料。</w:t>
      </w:r>
    </w:p>
    <w:p>
      <w:pPr>
        <w:pStyle w:val="2"/>
        <w:shd w:val="clear"/>
        <w:ind w:left="4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（8）</w:t>
      </w:r>
      <w:r>
        <w:rPr>
          <w:rFonts w:hint="eastAsia" w:ascii="黑体" w:hAnsi="黑体" w:eastAsia="黑体" w:cs="黑体"/>
          <w:color w:val="auto"/>
          <w:sz w:val="24"/>
          <w:szCs w:val="24"/>
          <w:highlight w:val="none"/>
        </w:rPr>
        <w:t>符合</w:t>
      </w:r>
      <w:r>
        <w:rPr>
          <w:rFonts w:hint="eastAsia" w:ascii="黑体" w:hAnsi="黑体" w:eastAsia="黑体" w:cs="黑体"/>
          <w:color w:val="auto"/>
          <w:sz w:val="24"/>
          <w:szCs w:val="24"/>
          <w:highlight w:val="none"/>
          <w:lang w:eastAsia="zh-CN"/>
        </w:rPr>
        <w:t>法律法规</w:t>
      </w:r>
      <w:r>
        <w:rPr>
          <w:rFonts w:hint="eastAsia" w:ascii="黑体" w:hAnsi="黑体" w:eastAsia="黑体" w:cs="黑体"/>
          <w:color w:val="auto"/>
          <w:sz w:val="24"/>
          <w:szCs w:val="24"/>
          <w:highlight w:val="none"/>
        </w:rPr>
        <w:t>规定的其他条件。</w:t>
      </w:r>
    </w:p>
    <w:p>
      <w:pPr>
        <w:pStyle w:val="22"/>
        <w:shd w:val="clear"/>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以上未尽之处详见第五章资格审查</w:t>
      </w:r>
    </w:p>
    <w:p>
      <w:pPr>
        <w:pStyle w:val="20"/>
        <w:shd w:val="clear"/>
        <w:ind w:firstLine="482" w:firstLineChars="200"/>
        <w:jc w:val="both"/>
        <w:rPr>
          <w:rFonts w:hint="eastAsia" w:ascii="黑体" w:hAnsi="黑体" w:eastAsia="黑体" w:cs="黑体"/>
          <w:b/>
          <w:bCs/>
          <w:color w:val="auto"/>
          <w:highlight w:val="none"/>
        </w:rPr>
      </w:pPr>
      <w:r>
        <w:rPr>
          <w:rFonts w:hint="eastAsia" w:ascii="黑体" w:hAnsi="黑体" w:eastAsia="黑体" w:cs="黑体"/>
          <w:b/>
          <w:bCs/>
          <w:color w:val="auto"/>
          <w:highlight w:val="none"/>
        </w:rPr>
        <w:t>【特别提醒】</w:t>
      </w:r>
      <w:r>
        <w:rPr>
          <w:rFonts w:hint="eastAsia" w:ascii="黑体" w:hAnsi="黑体" w:eastAsia="黑体" w:cs="黑体"/>
          <w:b/>
          <w:bCs/>
          <w:color w:val="auto"/>
          <w:highlight w:val="none"/>
          <w:lang w:val="en-US" w:eastAsia="zh-CN"/>
        </w:rPr>
        <w:t>以上资料投标时请提供原件扫描件，若提供的原件扫描件不清晰或</w:t>
      </w:r>
      <w:r>
        <w:rPr>
          <w:rFonts w:hint="eastAsia" w:ascii="黑体" w:hAnsi="黑体" w:eastAsia="黑体" w:cs="黑体"/>
          <w:b/>
          <w:bCs/>
          <w:color w:val="auto"/>
          <w:highlight w:val="none"/>
        </w:rPr>
        <w:t>不齐全而引起的后果，由响应磋商的供应商自负。</w:t>
      </w:r>
    </w:p>
    <w:p>
      <w:pPr>
        <w:pStyle w:val="21"/>
        <w:shd w:val="clear"/>
        <w:spacing w:line="440" w:lineRule="exact"/>
        <w:ind w:firstLine="482" w:firstLineChars="200"/>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1.3  技术标（</w:t>
      </w:r>
      <w:r>
        <w:rPr>
          <w:rFonts w:hint="eastAsia" w:ascii="黑体" w:hAnsi="黑体" w:eastAsia="黑体" w:cs="黑体"/>
          <w:b/>
          <w:bCs/>
          <w:color w:val="auto"/>
          <w:kern w:val="0"/>
          <w:sz w:val="24"/>
          <w:szCs w:val="24"/>
          <w:highlight w:val="none"/>
          <w:lang w:eastAsia="zh-CN"/>
        </w:rPr>
        <w:t>可提供一个密封袋，含一正二副</w:t>
      </w:r>
      <w:r>
        <w:rPr>
          <w:rFonts w:hint="eastAsia" w:ascii="黑体" w:hAnsi="黑体" w:eastAsia="黑体" w:cs="黑体"/>
          <w:b/>
          <w:bCs/>
          <w:color w:val="auto"/>
          <w:kern w:val="0"/>
          <w:sz w:val="24"/>
          <w:szCs w:val="24"/>
          <w:highlight w:val="none"/>
        </w:rPr>
        <w:t>）</w:t>
      </w:r>
    </w:p>
    <w:p>
      <w:pPr>
        <w:pStyle w:val="21"/>
        <w:shd w:val="clear"/>
        <w:spacing w:line="440" w:lineRule="exact"/>
        <w:ind w:firstLine="482" w:firstLineChars="200"/>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（1）封面</w:t>
      </w:r>
    </w:p>
    <w:p>
      <w:pPr>
        <w:pStyle w:val="21"/>
        <w:shd w:val="clear"/>
        <w:spacing w:line="440" w:lineRule="exact"/>
        <w:ind w:firstLine="482" w:firstLineChars="200"/>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（2）投标响应函</w:t>
      </w:r>
    </w:p>
    <w:p>
      <w:pPr>
        <w:pStyle w:val="21"/>
        <w:shd w:val="clear"/>
        <w:snapToGrid w:val="0"/>
        <w:spacing w:line="360" w:lineRule="auto"/>
        <w:ind w:firstLine="482" w:firstLineChars="200"/>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（3）根据第六章“评标办法”2.2.2 条款技术标的评审因素及评审标准提供相关投标资料。</w:t>
      </w:r>
    </w:p>
    <w:p>
      <w:pPr>
        <w:pStyle w:val="22"/>
        <w:shd w:val="clear"/>
        <w:spacing w:line="360" w:lineRule="auto"/>
        <w:ind w:firstLine="482" w:firstLineChars="200"/>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（4）商务技术条款响应一览表</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（5）投标人认为需要提交的其他资料。</w:t>
      </w:r>
    </w:p>
    <w:p>
      <w:pPr>
        <w:pStyle w:val="21"/>
        <w:shd w:val="clear"/>
        <w:snapToGrid w:val="0"/>
        <w:spacing w:line="360" w:lineRule="auto"/>
        <w:ind w:firstLine="480" w:firstLineChars="200"/>
        <w:jc w:val="left"/>
        <w:rPr>
          <w:rFonts w:hint="eastAsia" w:ascii="黑体" w:hAnsi="黑体" w:eastAsia="黑体" w:cs="黑体"/>
          <w:color w:val="auto"/>
          <w:sz w:val="24"/>
          <w:szCs w:val="24"/>
          <w:highlight w:val="none"/>
          <w:u w:val="single"/>
          <w:lang w:eastAsia="zh-CN"/>
        </w:rPr>
      </w:pPr>
      <w:r>
        <w:rPr>
          <w:rFonts w:hint="eastAsia" w:ascii="黑体" w:hAnsi="黑体" w:eastAsia="黑体" w:cs="黑体"/>
          <w:color w:val="auto"/>
          <w:kern w:val="0"/>
          <w:sz w:val="24"/>
          <w:szCs w:val="24"/>
          <w:highlight w:val="none"/>
          <w:u w:val="single"/>
        </w:rPr>
        <w:t>注明：</w:t>
      </w:r>
      <w:r>
        <w:rPr>
          <w:rFonts w:hint="eastAsia" w:ascii="黑体" w:hAnsi="黑体" w:eastAsia="黑体" w:cs="黑体"/>
          <w:color w:val="auto"/>
          <w:kern w:val="0"/>
          <w:sz w:val="24"/>
          <w:szCs w:val="24"/>
          <w:highlight w:val="none"/>
          <w:u w:val="single"/>
          <w:lang w:eastAsia="zh-CN"/>
        </w:rPr>
        <w:t>（</w:t>
      </w:r>
      <w:r>
        <w:rPr>
          <w:rFonts w:hint="eastAsia" w:ascii="黑体" w:hAnsi="黑体" w:eastAsia="黑体" w:cs="黑体"/>
          <w:color w:val="auto"/>
          <w:kern w:val="0"/>
          <w:sz w:val="24"/>
          <w:szCs w:val="24"/>
          <w:highlight w:val="none"/>
          <w:u w:val="single"/>
          <w:lang w:val="en-US" w:eastAsia="zh-CN"/>
        </w:rPr>
        <w:t>1</w:t>
      </w:r>
      <w:r>
        <w:rPr>
          <w:rFonts w:hint="eastAsia" w:ascii="黑体" w:hAnsi="黑体" w:eastAsia="黑体" w:cs="黑体"/>
          <w:color w:val="auto"/>
          <w:kern w:val="0"/>
          <w:sz w:val="24"/>
          <w:szCs w:val="24"/>
          <w:highlight w:val="none"/>
          <w:u w:val="single"/>
          <w:lang w:eastAsia="zh-CN"/>
        </w:rPr>
        <w:t>）</w:t>
      </w:r>
      <w:r>
        <w:rPr>
          <w:rFonts w:hint="eastAsia" w:ascii="黑体" w:hAnsi="黑体" w:eastAsia="黑体" w:cs="黑体"/>
          <w:color w:val="auto"/>
          <w:kern w:val="0"/>
          <w:sz w:val="24"/>
          <w:szCs w:val="24"/>
          <w:highlight w:val="none"/>
          <w:u w:val="single"/>
        </w:rPr>
        <w:t>各投标单位根据本项目技术标文件目录中的内容按顺序编制目录和页码范围（以</w:t>
      </w:r>
      <w:r>
        <w:rPr>
          <w:rFonts w:hint="eastAsia" w:ascii="黑体" w:hAnsi="黑体" w:eastAsia="黑体" w:cs="黑体"/>
          <w:color w:val="auto"/>
          <w:sz w:val="24"/>
          <w:szCs w:val="24"/>
          <w:highlight w:val="none"/>
          <w:u w:val="single"/>
        </w:rPr>
        <w:t>上条款的具体内容及要求请按照本磋商文件第六章“评标办法”2.2.2 条款技术标的评审因素及评审标准提供相关投标资料），</w:t>
      </w:r>
      <w:r>
        <w:rPr>
          <w:rFonts w:hint="eastAsia" w:ascii="黑体" w:hAnsi="黑体" w:eastAsia="黑体" w:cs="黑体"/>
          <w:color w:val="auto"/>
          <w:sz w:val="24"/>
          <w:szCs w:val="24"/>
          <w:highlight w:val="none"/>
          <w:u w:val="single"/>
          <w:lang w:eastAsia="zh-CN"/>
        </w:rPr>
        <w:t>以上条款中相关所有证明材料或证书需提供原件扫描件并加盖单位公章。若</w:t>
      </w:r>
      <w:r>
        <w:rPr>
          <w:rFonts w:hint="eastAsia" w:ascii="黑体" w:hAnsi="黑体" w:eastAsia="黑体" w:cs="黑体"/>
          <w:color w:val="auto"/>
          <w:sz w:val="24"/>
          <w:szCs w:val="24"/>
          <w:highlight w:val="none"/>
          <w:u w:val="single"/>
          <w:lang w:val="en-US" w:eastAsia="zh-CN"/>
        </w:rPr>
        <w:t>提供的</w:t>
      </w:r>
      <w:r>
        <w:rPr>
          <w:rFonts w:hint="eastAsia" w:ascii="黑体" w:hAnsi="黑体" w:eastAsia="黑体" w:cs="黑体"/>
          <w:color w:val="auto"/>
          <w:sz w:val="24"/>
          <w:szCs w:val="24"/>
          <w:highlight w:val="none"/>
          <w:u w:val="single"/>
          <w:lang w:eastAsia="zh-CN"/>
        </w:rPr>
        <w:t>原件扫描件不清晰或不符合等原因造成一切后果由投标单位承担。</w:t>
      </w:r>
    </w:p>
    <w:p>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highlight w:val="none"/>
          <w:u w:val="single"/>
          <w:lang w:val="en-US" w:eastAsia="zh-CN"/>
        </w:rPr>
      </w:pPr>
      <w:r>
        <w:rPr>
          <w:rFonts w:hint="eastAsia" w:ascii="黑体" w:hAnsi="黑体" w:eastAsia="黑体" w:cs="黑体"/>
          <w:color w:val="auto"/>
          <w:sz w:val="24"/>
          <w:szCs w:val="24"/>
          <w:highlight w:val="none"/>
          <w:u w:val="single"/>
          <w:lang w:eastAsia="zh-CN"/>
        </w:rPr>
        <w:t>（</w:t>
      </w:r>
      <w:r>
        <w:rPr>
          <w:rFonts w:hint="eastAsia" w:ascii="黑体" w:hAnsi="黑体" w:eastAsia="黑体" w:cs="黑体"/>
          <w:color w:val="auto"/>
          <w:sz w:val="24"/>
          <w:szCs w:val="24"/>
          <w:highlight w:val="none"/>
          <w:u w:val="single"/>
          <w:lang w:val="en-US" w:eastAsia="zh-CN"/>
        </w:rPr>
        <w:t>2</w:t>
      </w:r>
      <w:r>
        <w:rPr>
          <w:rFonts w:hint="eastAsia" w:ascii="黑体" w:hAnsi="黑体" w:eastAsia="黑体" w:cs="黑体"/>
          <w:color w:val="auto"/>
          <w:sz w:val="24"/>
          <w:szCs w:val="24"/>
          <w:highlight w:val="none"/>
          <w:u w:val="single"/>
          <w:lang w:eastAsia="zh-CN"/>
        </w:rPr>
        <w:t>）</w:t>
      </w:r>
      <w:r>
        <w:rPr>
          <w:rFonts w:hint="eastAsia" w:ascii="黑体" w:hAnsi="黑体" w:eastAsia="黑体" w:cs="黑体"/>
          <w:color w:val="auto"/>
          <w:sz w:val="24"/>
          <w:szCs w:val="24"/>
          <w:highlight w:val="none"/>
          <w:u w:val="single"/>
          <w:lang w:val="en-US" w:eastAsia="zh-CN"/>
        </w:rPr>
        <w:t>本项目在投标时提供的所有佐证材料，投标单位在成交后（发布成交公示之日起）3日内提交所有佐证材料原件给采购人核实，若经核实与原件不符，将视为虚假应标，采购人有权取消其成交的权利，并视情节轻重报相关监管部门作为失信名单予以通报。</w:t>
      </w:r>
    </w:p>
    <w:p>
      <w:pPr>
        <w:pStyle w:val="21"/>
        <w:shd w:val="clear"/>
        <w:spacing w:line="440" w:lineRule="exact"/>
        <w:ind w:firstLine="462" w:firstLineChars="200"/>
        <w:rPr>
          <w:rFonts w:hint="eastAsia" w:ascii="黑体" w:hAnsi="黑体" w:eastAsia="黑体" w:cs="黑体"/>
          <w:b/>
          <w:bCs/>
          <w:color w:val="auto"/>
          <w:kern w:val="0"/>
          <w:sz w:val="24"/>
          <w:szCs w:val="24"/>
          <w:highlight w:val="none"/>
        </w:rPr>
      </w:pPr>
      <w:r>
        <w:rPr>
          <w:rFonts w:hint="eastAsia" w:ascii="黑体" w:hAnsi="黑体" w:eastAsia="黑体" w:cs="黑体"/>
          <w:b/>
          <w:bCs/>
          <w:color w:val="auto"/>
          <w:sz w:val="23"/>
          <w:szCs w:val="23"/>
          <w:highlight w:val="none"/>
        </w:rPr>
        <w:t>1.4报价标包</w:t>
      </w:r>
      <w:r>
        <w:rPr>
          <w:rFonts w:hint="eastAsia" w:ascii="黑体" w:hAnsi="黑体" w:eastAsia="黑体" w:cs="黑体"/>
          <w:b/>
          <w:bCs/>
          <w:color w:val="auto"/>
          <w:kern w:val="0"/>
          <w:sz w:val="24"/>
          <w:szCs w:val="24"/>
          <w:highlight w:val="none"/>
        </w:rPr>
        <w:t>（</w:t>
      </w:r>
      <w:r>
        <w:rPr>
          <w:rFonts w:hint="eastAsia" w:ascii="黑体" w:hAnsi="黑体" w:eastAsia="黑体" w:cs="黑体"/>
          <w:b/>
          <w:bCs/>
          <w:color w:val="auto"/>
          <w:kern w:val="0"/>
          <w:sz w:val="24"/>
          <w:szCs w:val="24"/>
          <w:highlight w:val="none"/>
          <w:lang w:eastAsia="zh-CN"/>
        </w:rPr>
        <w:t>可提供一个密封袋，含一正二副</w:t>
      </w:r>
      <w:r>
        <w:rPr>
          <w:rFonts w:hint="eastAsia" w:ascii="黑体" w:hAnsi="黑体" w:eastAsia="黑体" w:cs="黑体"/>
          <w:b/>
          <w:bCs/>
          <w:color w:val="auto"/>
          <w:kern w:val="0"/>
          <w:sz w:val="24"/>
          <w:szCs w:val="24"/>
          <w:highlight w:val="none"/>
        </w:rPr>
        <w:t>）</w:t>
      </w:r>
    </w:p>
    <w:p>
      <w:pPr>
        <w:pStyle w:val="21"/>
        <w:shd w:val="clear"/>
        <w:spacing w:line="360" w:lineRule="auto"/>
        <w:ind w:firstLine="240" w:firstLineChars="1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（1）封面</w:t>
      </w:r>
    </w:p>
    <w:p>
      <w:pPr>
        <w:pStyle w:val="21"/>
        <w:shd w:val="clear"/>
        <w:spacing w:line="360" w:lineRule="auto"/>
        <w:ind w:firstLine="240" w:firstLineChars="1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（2）供应商响应文件报价表（第一次磋商报价）</w:t>
      </w:r>
    </w:p>
    <w:p>
      <w:pPr>
        <w:pStyle w:val="21"/>
        <w:shd w:val="clear"/>
        <w:spacing w:line="360" w:lineRule="auto"/>
        <w:ind w:firstLine="240" w:firstLineChars="1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（3）供应商响应文件报价表（最终）</w:t>
      </w:r>
    </w:p>
    <w:p>
      <w:pPr>
        <w:pStyle w:val="22"/>
        <w:shd w:val="clear"/>
        <w:spacing w:line="360" w:lineRule="auto"/>
        <w:ind w:firstLine="482" w:firstLineChars="200"/>
        <w:rPr>
          <w:rFonts w:hint="eastAsia" w:ascii="黑体" w:hAnsi="黑体" w:eastAsia="黑体" w:cs="黑体"/>
          <w:b/>
          <w:bCs/>
          <w:color w:val="auto"/>
          <w:sz w:val="24"/>
          <w:szCs w:val="24"/>
          <w:highlight w:val="none"/>
          <w:u w:val="single"/>
        </w:rPr>
      </w:pPr>
      <w:r>
        <w:rPr>
          <w:rFonts w:hint="eastAsia" w:ascii="黑体" w:hAnsi="黑体" w:eastAsia="黑体" w:cs="黑体"/>
          <w:b/>
          <w:bCs/>
          <w:color w:val="auto"/>
          <w:sz w:val="24"/>
          <w:szCs w:val="24"/>
          <w:highlight w:val="none"/>
          <w:u w:val="single"/>
        </w:rPr>
        <w:t>注明：供应商响应文件报价表（最终），此表投标报价请空着，在开标现场填写，需提前加盖公章。</w:t>
      </w:r>
    </w:p>
    <w:p>
      <w:pPr>
        <w:spacing w:line="360" w:lineRule="auto"/>
        <w:ind w:firstLine="420"/>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1.5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spacing w:line="360" w:lineRule="auto"/>
        <w:ind w:firstLine="420"/>
        <w:rPr>
          <w:rFonts w:hint="default"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1.6 投标文件的正本和副本的封面上应清楚地标记“正本”或“副本”的字样。当副本和正本不一致时，以正本为准。正本资料每页均须加盖投标单位原件章，资料成交明确须签字或盖章的地方，请一一响应，若经磋商小组核实后未能响应的，产生的后果由投标单位承担。</w:t>
      </w:r>
    </w:p>
    <w:p>
      <w:pPr>
        <w:spacing w:line="360" w:lineRule="auto"/>
        <w:ind w:firstLine="480" w:firstLineChars="200"/>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1.7 投标文件应按以下要求进行密封，本项目至少分3个密封袋，并在封套上加盖投标人公章：</w:t>
      </w:r>
    </w:p>
    <w:p>
      <w:pPr>
        <w:spacing w:line="360" w:lineRule="auto"/>
        <w:ind w:firstLine="480" w:firstLineChars="200"/>
        <w:jc w:val="lef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资格证明材料审查包（可提供一个密封袋，含一正二副）；技术商务标（可提供一个密封袋，含一正二副）；报价标（可提供一个密封袋，含一正二副）；投标文件的封套应写明采购人名称、项目名称及包件号、投标人名称。</w:t>
      </w:r>
    </w:p>
    <w:p>
      <w:pPr>
        <w:spacing w:line="360" w:lineRule="auto"/>
        <w:ind w:firstLine="420"/>
        <w:rPr>
          <w:rFonts w:hint="eastAsia"/>
          <w:color w:val="auto"/>
          <w:highlight w:val="none"/>
        </w:rPr>
      </w:pPr>
      <w:r>
        <w:rPr>
          <w:rFonts w:hint="eastAsia" w:ascii="黑体" w:hAnsi="黑体" w:eastAsia="黑体" w:cs="黑体"/>
          <w:color w:val="auto"/>
          <w:kern w:val="2"/>
          <w:sz w:val="24"/>
          <w:szCs w:val="24"/>
          <w:highlight w:val="none"/>
          <w:lang w:val="en-US" w:eastAsia="zh-CN" w:bidi="ar-SA"/>
        </w:rPr>
        <w:t>1.8投标文件的资格证明材料审查包、技术商务标和报价标应分别密封，并在封套和投标文件封面上写明资格证明材料审查包、技术商务标、报价标，同时还要写明采购人名称、项目名称及包件号、投标人名称并加盖投标单位公章。</w:t>
      </w:r>
    </w:p>
    <w:p>
      <w:pPr>
        <w:pStyle w:val="21"/>
        <w:shd w:val="clear"/>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2、磋商报价</w:t>
      </w:r>
    </w:p>
    <w:p>
      <w:pPr>
        <w:spacing w:line="360" w:lineRule="auto"/>
        <w:ind w:firstLine="480" w:firstLineChars="200"/>
        <w:jc w:val="lef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2.1参加磋商的供应商应按照磋商文件规定格式填报供应商响应文件报价表，在表内响应单位的报价</w:t>
      </w:r>
      <w:r>
        <w:rPr>
          <w:rFonts w:hint="eastAsia" w:ascii="黑体" w:hAnsi="黑体" w:eastAsia="黑体" w:cs="黑体"/>
          <w:color w:val="auto"/>
          <w:sz w:val="23"/>
          <w:szCs w:val="23"/>
          <w:highlight w:val="none"/>
          <w:lang w:eastAsia="zh-CN"/>
        </w:rPr>
        <w:t>应包括但不限于常年法律顾问服务费、律师值班费、市内交通费、通讯费、餐费 、管理费、人工费、税金、利润、招标代理费用等各项费用，即招标作业服务项目实施的所有费用以及包含响应招标文件采购要求的所有费用。</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2.2标的物</w:t>
      </w:r>
    </w:p>
    <w:p>
      <w:pPr>
        <w:pStyle w:val="21"/>
        <w:shd w:val="clear"/>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详见项目工作内容和技术要求。</w:t>
      </w:r>
    </w:p>
    <w:p>
      <w:pPr>
        <w:pStyle w:val="21"/>
        <w:shd w:val="clear"/>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2.3有关费用处理</w:t>
      </w:r>
    </w:p>
    <w:p>
      <w:pPr>
        <w:pStyle w:val="33"/>
        <w:shd w:val="clear"/>
        <w:snapToGrid w:val="0"/>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本次采购磋商供应商的总报价应包括完成本次招标范围内全部工作内容所需的所有费用。</w:t>
      </w:r>
    </w:p>
    <w:p>
      <w:pPr>
        <w:pStyle w:val="21"/>
        <w:widowControl/>
        <w:numPr>
          <w:ilvl w:val="0"/>
          <w:numId w:val="1"/>
        </w:numPr>
        <w:shd w:val="clear" w:color="auto"/>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磋商最终报价应是固定不变的，不得以任何理由予以变更。任何可变的或者附有条件的响应报价，采购人均将予以拒绝。</w:t>
      </w:r>
    </w:p>
    <w:p>
      <w:pPr>
        <w:pStyle w:val="22"/>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2）最低响应报价不能作为本次招标采购的成交保证。</w:t>
      </w:r>
    </w:p>
    <w:p>
      <w:pPr>
        <w:pStyle w:val="21"/>
        <w:shd w:val="clear"/>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2.4其它费用处理</w:t>
      </w:r>
    </w:p>
    <w:p>
      <w:pPr>
        <w:pStyle w:val="21"/>
        <w:shd w:val="clear"/>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磋商文件未列明，而磋商供应商认为必须的费用也须列入报价。</w:t>
      </w:r>
    </w:p>
    <w:p>
      <w:pPr>
        <w:pStyle w:val="21"/>
        <w:shd w:val="clear"/>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2.5报价采用的货币</w:t>
      </w:r>
    </w:p>
    <w:p>
      <w:pPr>
        <w:pStyle w:val="21"/>
        <w:shd w:val="clear"/>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响应文件中的单价和总价，无特殊规定的采用人民币报价，以元为单位标注。磋商文件中另有规定的按规定执行。</w:t>
      </w:r>
    </w:p>
    <w:p>
      <w:pPr>
        <w:pStyle w:val="21"/>
        <w:shd w:val="clear"/>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2.6 供应商响应文件报价表上的价格应按磋商文件规定填写。</w:t>
      </w:r>
    </w:p>
    <w:p>
      <w:pPr>
        <w:pStyle w:val="21"/>
        <w:shd w:val="clear"/>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3、项目工作内容和技术要求响应方案</w:t>
      </w:r>
    </w:p>
    <w:p>
      <w:pPr>
        <w:pStyle w:val="21"/>
        <w:shd w:val="clear"/>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3.1提供为完成本项目的总体实施方案。</w:t>
      </w:r>
    </w:p>
    <w:p>
      <w:pPr>
        <w:pStyle w:val="21"/>
        <w:shd w:val="clear"/>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3.2对磋商文件中项目工作内容和技术要求的技术与商务条款要求逐项作出应答，并提供依据或说明。</w:t>
      </w:r>
    </w:p>
    <w:p>
      <w:pPr>
        <w:pStyle w:val="21"/>
        <w:shd w:val="clear"/>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3.3磋商供应商认为需要的其他技术文件或说明。</w:t>
      </w:r>
    </w:p>
    <w:p>
      <w:pPr>
        <w:pStyle w:val="21"/>
        <w:shd w:val="clear"/>
        <w:spacing w:before="120" w:after="120" w:line="360" w:lineRule="auto"/>
        <w:jc w:val="left"/>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三、纸质磋商供应商响应文件的递交</w:t>
      </w:r>
    </w:p>
    <w:p>
      <w:pPr>
        <w:pStyle w:val="21"/>
        <w:shd w:val="clear"/>
        <w:spacing w:before="120" w:after="120" w:line="500" w:lineRule="exact"/>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1、响应文件的密封和标记</w:t>
      </w:r>
    </w:p>
    <w:p>
      <w:pPr>
        <w:pStyle w:val="21"/>
        <w:shd w:val="clear"/>
        <w:spacing w:before="120" w:after="120" w:line="500" w:lineRule="exact"/>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1.1磋商供应商应严格按照磋商文件要求的份数准备响应文件，每份响应文件须清楚地标明“正本”或“副本”字样。磋商供应商应将“资格审查资料包</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技术标包</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报价标包”内的所有材料及</w:t>
      </w:r>
      <w:r>
        <w:rPr>
          <w:rFonts w:hint="eastAsia" w:ascii="黑体" w:hAnsi="黑体" w:eastAsia="黑体" w:cs="黑体"/>
          <w:color w:val="auto"/>
          <w:sz w:val="24"/>
          <w:szCs w:val="24"/>
          <w:highlight w:val="none"/>
          <w:lang w:eastAsia="zh-CN"/>
        </w:rPr>
        <w:t>原件扫描件</w:t>
      </w:r>
      <w:r>
        <w:rPr>
          <w:rFonts w:hint="eastAsia" w:ascii="黑体" w:hAnsi="黑体" w:eastAsia="黑体" w:cs="黑体"/>
          <w:color w:val="auto"/>
          <w:sz w:val="24"/>
          <w:szCs w:val="24"/>
          <w:highlight w:val="none"/>
        </w:rPr>
        <w:t>，须加盖本项目响应单位的公章并装订成册，各一份“正本”，二份“副本”，以便在评审时，供评委检查及提供留存。</w:t>
      </w:r>
    </w:p>
    <w:p>
      <w:pPr>
        <w:pStyle w:val="21"/>
        <w:shd w:val="clear"/>
        <w:spacing w:before="120" w:after="120" w:line="500" w:lineRule="exact"/>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1.2密封的响应文件应：</w:t>
      </w:r>
    </w:p>
    <w:p>
      <w:pPr>
        <w:pStyle w:val="21"/>
        <w:shd w:val="clear"/>
        <w:spacing w:before="120" w:after="120" w:line="500" w:lineRule="exact"/>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（1）按采购邀请中注明的地址送达规定地点；</w:t>
      </w:r>
    </w:p>
    <w:p>
      <w:pPr>
        <w:pStyle w:val="21"/>
        <w:shd w:val="clear"/>
        <w:spacing w:before="120" w:after="120" w:line="500" w:lineRule="exact"/>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（2）注明参加磋商项目名称、磋商文件编号及参加的分包号；</w:t>
      </w:r>
    </w:p>
    <w:p>
      <w:pPr>
        <w:pStyle w:val="21"/>
        <w:shd w:val="clear"/>
        <w:spacing w:before="120" w:after="120" w:line="500" w:lineRule="exact"/>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（3）密包装上应写明磋商供应商名称并加盖供应商公章。</w:t>
      </w:r>
    </w:p>
    <w:p>
      <w:pPr>
        <w:pStyle w:val="21"/>
        <w:shd w:val="clear"/>
        <w:spacing w:before="120" w:after="120" w:line="500" w:lineRule="exact"/>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1.3如果密封包装未按要求密封和加写标记，代理机构对误投或过早启封概不负责。对由此造成提前开封的响应文件，代理机构将予以拒绝，作无效响应处理。</w:t>
      </w:r>
    </w:p>
    <w:p>
      <w:pPr>
        <w:pStyle w:val="21"/>
        <w:shd w:val="clear"/>
        <w:spacing w:before="120" w:after="120" w:line="500" w:lineRule="exact"/>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2、响应文件开启时间</w:t>
      </w:r>
    </w:p>
    <w:p>
      <w:pPr>
        <w:pStyle w:val="21"/>
        <w:shd w:val="clear"/>
        <w:spacing w:before="120" w:after="120" w:line="500" w:lineRule="exact"/>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2.1代理机构收到响应文件的时间不得迟于本磋商文件规定的响应文件接收截止时间。</w:t>
      </w:r>
    </w:p>
    <w:p>
      <w:pPr>
        <w:pStyle w:val="21"/>
        <w:shd w:val="clear"/>
        <w:spacing w:before="120" w:after="120" w:line="500" w:lineRule="exact"/>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2.2代理机构有权通过修改磋商文件推迟响应文件接收截止时间，在此情况下，磋商供应商的所有权利和义务以及受制的响应文件接收截止时间均应以延长后新的响应文件接收截止时间为准。</w:t>
      </w:r>
    </w:p>
    <w:p>
      <w:pPr>
        <w:pStyle w:val="21"/>
        <w:shd w:val="clear"/>
        <w:spacing w:before="120" w:after="120" w:line="500" w:lineRule="exact"/>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3、迟交的响应文件</w:t>
      </w:r>
    </w:p>
    <w:p>
      <w:pPr>
        <w:pStyle w:val="21"/>
        <w:shd w:val="clear"/>
        <w:spacing w:before="120" w:after="120" w:line="500" w:lineRule="exact"/>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3.1代理机构将拒绝在规定的响应文件接收截止时间后接收任何响应文件。</w:t>
      </w:r>
    </w:p>
    <w:p>
      <w:pPr>
        <w:pStyle w:val="21"/>
        <w:shd w:val="clear"/>
        <w:spacing w:before="120" w:after="120" w:line="500" w:lineRule="exact"/>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4、响应文件的修改和撤回</w:t>
      </w:r>
    </w:p>
    <w:p>
      <w:pPr>
        <w:pStyle w:val="21"/>
        <w:shd w:val="clear"/>
        <w:spacing w:before="120" w:after="120" w:line="500" w:lineRule="exact"/>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4.1磋商供应商在递交响应文件后，可以修改或撤回其磋商响应文件，但这种修改和撤回，必须在规定的响应文件接收截止时间前，以书面形式送达指定地点。</w:t>
      </w:r>
    </w:p>
    <w:p>
      <w:pPr>
        <w:pStyle w:val="21"/>
        <w:shd w:val="clear"/>
        <w:spacing w:before="120" w:after="120" w:line="500" w:lineRule="exact"/>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4.2磋商供应商的修改或撤回通知书，应按本文件规定进行编制、密封、标记和发送，并应在封套上加注“修改”和“撤回”字样。</w:t>
      </w:r>
    </w:p>
    <w:p>
      <w:pPr>
        <w:pStyle w:val="21"/>
        <w:shd w:val="clear"/>
        <w:spacing w:before="120" w:after="120" w:line="500" w:lineRule="exact"/>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4.3 磋商供应商在提交最后报价之前，可以根据磋商情况退出磋商。</w:t>
      </w:r>
    </w:p>
    <w:p>
      <w:pPr>
        <w:pStyle w:val="21"/>
        <w:shd w:val="clear"/>
        <w:spacing w:before="120" w:after="120" w:line="500" w:lineRule="exact"/>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5、磋商响应有效期</w:t>
      </w:r>
    </w:p>
    <w:p>
      <w:pPr>
        <w:pStyle w:val="21"/>
        <w:shd w:val="clear"/>
        <w:spacing w:before="120" w:after="120" w:line="500" w:lineRule="exact"/>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5.1 磋商响应有效期为代理机构规定的响应文件接收截止时间后六十（60）天。磋商响应有效期比规定短的将被视为非实质性</w:t>
      </w:r>
      <w:r>
        <w:rPr>
          <w:rFonts w:hint="eastAsia" w:ascii="黑体" w:hAnsi="黑体" w:eastAsia="黑体" w:cs="黑体"/>
          <w:color w:val="auto"/>
          <w:sz w:val="24"/>
          <w:szCs w:val="24"/>
          <w:highlight w:val="none"/>
          <w:lang w:eastAsia="zh-CN"/>
        </w:rPr>
        <w:t>响应</w:t>
      </w:r>
      <w:r>
        <w:rPr>
          <w:rFonts w:hint="eastAsia" w:ascii="黑体" w:hAnsi="黑体" w:eastAsia="黑体" w:cs="黑体"/>
          <w:color w:val="auto"/>
          <w:sz w:val="24"/>
          <w:szCs w:val="24"/>
          <w:highlight w:val="none"/>
        </w:rPr>
        <w:t>而予以拒绝。</w:t>
      </w:r>
    </w:p>
    <w:p>
      <w:pPr>
        <w:pStyle w:val="21"/>
        <w:shd w:val="clear"/>
        <w:spacing w:before="120" w:after="120" w:line="500" w:lineRule="exact"/>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5.2 在特殊情况下，代理机构于原磋商响应有效期满之前，可向磋商供应商提出延长磋商响应有效期的要求。这种要求与答复均应采用书面形式。磋商供应商可以拒绝代理机构的这一要求而放弃磋商响应，代理机构在接到磋商供应商书面答复后，同意延长磋商响应有效期的磋商供应商既不能要求也不允许修改其响应文件，同时受磋商响应有效期约束的所有权利与义务均延长至新的有效期。</w:t>
      </w:r>
    </w:p>
    <w:p>
      <w:pPr>
        <w:pStyle w:val="21"/>
        <w:shd w:val="clear"/>
        <w:spacing w:before="120" w:after="120" w:line="360" w:lineRule="auto"/>
        <w:jc w:val="left"/>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四、磋商与评审</w:t>
      </w:r>
    </w:p>
    <w:p>
      <w:pPr>
        <w:pStyle w:val="21"/>
        <w:shd w:val="clear"/>
        <w:spacing w:before="120" w:after="120"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1、磋商仪式</w:t>
      </w:r>
    </w:p>
    <w:p>
      <w:pPr>
        <w:pStyle w:val="21"/>
        <w:shd w:val="clear"/>
        <w:spacing w:before="120" w:after="120"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1.1代理机构将在采购邀请中规定的时间和地点组织磋商开始仪式，仪式由代理机构主持，磋商供应商应委派携带有效证件的代表准时参加，参加仪式的代表需签名以证明其出席。</w:t>
      </w:r>
    </w:p>
    <w:p>
      <w:pPr>
        <w:pStyle w:val="21"/>
        <w:shd w:val="clear"/>
        <w:spacing w:before="120" w:after="120"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2、磋商小组</w:t>
      </w:r>
    </w:p>
    <w:p>
      <w:pPr>
        <w:pStyle w:val="21"/>
        <w:shd w:val="clear"/>
        <w:spacing w:before="120" w:after="120"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2.1 磋商开始仪式结束后，代理机构将立即组织磋商小组进行评审。</w:t>
      </w:r>
    </w:p>
    <w:p>
      <w:pPr>
        <w:pStyle w:val="21"/>
        <w:shd w:val="clear"/>
        <w:spacing w:before="120" w:after="120"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2.2 磋商小组由政府采购评审专家、采购人代表组成，且人员构成符合政府采购有关规定。</w:t>
      </w:r>
    </w:p>
    <w:p>
      <w:pPr>
        <w:pStyle w:val="21"/>
        <w:shd w:val="clear"/>
        <w:spacing w:before="120" w:after="120"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3、磋商评审过程的保密与公正</w:t>
      </w:r>
    </w:p>
    <w:p>
      <w:pPr>
        <w:pStyle w:val="21"/>
        <w:shd w:val="clear"/>
        <w:spacing w:before="120" w:after="120"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3.1磋商小组、采购人和代理机构工作人员、相关监督人员等与评审工作有关的人员，对评审情况以及在评审过程中获悉的国家秘密、商业秘密负有保密责任。</w:t>
      </w:r>
    </w:p>
    <w:p>
      <w:pPr>
        <w:pStyle w:val="21"/>
        <w:shd w:val="clear"/>
        <w:spacing w:before="120" w:after="120"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3.2在磋商评审过程中，磋商供应商不得以任何行为影响磋商评审过程，否则其响应文件将被</w:t>
      </w:r>
      <w:r>
        <w:rPr>
          <w:rFonts w:hint="eastAsia" w:ascii="黑体" w:hAnsi="黑体" w:eastAsia="黑体" w:cs="黑体"/>
          <w:color w:val="auto"/>
          <w:sz w:val="24"/>
          <w:szCs w:val="24"/>
          <w:highlight w:val="none"/>
          <w:lang w:val="en-US" w:eastAsia="zh-CN"/>
        </w:rPr>
        <w:t>作为</w:t>
      </w:r>
      <w:r>
        <w:rPr>
          <w:rFonts w:hint="eastAsia" w:ascii="黑体" w:hAnsi="黑体" w:eastAsia="黑体" w:cs="黑体"/>
          <w:color w:val="auto"/>
          <w:sz w:val="24"/>
          <w:szCs w:val="24"/>
          <w:highlight w:val="none"/>
        </w:rPr>
        <w:t>无效响应文件。</w:t>
      </w:r>
    </w:p>
    <w:p>
      <w:pPr>
        <w:pStyle w:val="21"/>
        <w:shd w:val="clear"/>
        <w:spacing w:before="120" w:after="120"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21"/>
        <w:shd w:val="clear"/>
        <w:spacing w:before="120" w:after="120"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4、评审过程的澄清、说明和更正</w:t>
      </w:r>
    </w:p>
    <w:p>
      <w:pPr>
        <w:pStyle w:val="21"/>
        <w:shd w:val="clear"/>
        <w:spacing w:before="120" w:after="120"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1"/>
        <w:shd w:val="clear"/>
        <w:spacing w:before="120" w:after="120"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4.2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pPr>
        <w:pStyle w:val="21"/>
        <w:shd w:val="clear"/>
        <w:spacing w:before="120" w:after="120"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4.3 接到磋商小组澄清要求的供应商如未按规定</w:t>
      </w:r>
      <w:r>
        <w:rPr>
          <w:rFonts w:hint="eastAsia" w:ascii="黑体" w:hAnsi="黑体" w:eastAsia="黑体" w:cs="黑体"/>
          <w:color w:val="auto"/>
          <w:sz w:val="24"/>
          <w:szCs w:val="24"/>
          <w:highlight w:val="none"/>
          <w:lang w:eastAsia="zh-CN"/>
        </w:rPr>
        <w:t>作出</w:t>
      </w:r>
      <w:r>
        <w:rPr>
          <w:rFonts w:hint="eastAsia" w:ascii="黑体" w:hAnsi="黑体" w:eastAsia="黑体" w:cs="黑体"/>
          <w:color w:val="auto"/>
          <w:sz w:val="24"/>
          <w:szCs w:val="24"/>
          <w:highlight w:val="none"/>
        </w:rPr>
        <w:t>澄清，其风险由供应商自行承担。</w:t>
      </w:r>
    </w:p>
    <w:p>
      <w:pPr>
        <w:pStyle w:val="21"/>
        <w:shd w:val="clear"/>
        <w:spacing w:before="120" w:after="120"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5、对响应文件的初审</w:t>
      </w:r>
    </w:p>
    <w:p>
      <w:pPr>
        <w:pStyle w:val="21"/>
        <w:shd w:val="clear"/>
        <w:spacing w:before="120" w:after="120"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5.1响应文件初审分为资格性检查和符合性检查。</w:t>
      </w:r>
    </w:p>
    <w:p>
      <w:pPr>
        <w:pStyle w:val="21"/>
        <w:shd w:val="clear"/>
        <w:spacing w:before="120" w:after="120"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资格性检查：依据法律法规和磋商文件的规定，对响应文件中的资格证明文件进行审查，以确定供应商是否具备参加磋商的资格。</w:t>
      </w:r>
    </w:p>
    <w:p>
      <w:pPr>
        <w:pStyle w:val="21"/>
        <w:shd w:val="clear"/>
        <w:spacing w:before="120" w:after="120"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符合性检查：依据磋商文件的规定，从响应文件的有效性、完整性和对磋商文件的响应程度进行审查，以确定是否对磋商文件的实质性要求作出响应。</w:t>
      </w:r>
    </w:p>
    <w:p>
      <w:pPr>
        <w:pStyle w:val="21"/>
        <w:shd w:val="clear"/>
        <w:spacing w:before="120" w:after="120"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5.2在正式磋商之前，磋商小组将首先审查每份响应文件是否实质性响应了磋商文件的要求。实质性响应的响应文件应该是与磋商文件要求的条款、条件和规格相符，没有重大偏离或保留。</w:t>
      </w:r>
    </w:p>
    <w:p>
      <w:pPr>
        <w:pStyle w:val="21"/>
        <w:shd w:val="clear"/>
        <w:spacing w:before="120" w:after="120"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磋商小组按照少数服从多数的原则作出结论。磋商小组决定响应文件的响应性只根据响应文件本身的内容，而不寻求外部的证据。</w:t>
      </w:r>
    </w:p>
    <w:p>
      <w:pPr>
        <w:pStyle w:val="21"/>
        <w:shd w:val="clear"/>
        <w:spacing w:before="120" w:after="120"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5.3 被认定为未实质性响应磋商文件的响应文件的情形</w:t>
      </w:r>
    </w:p>
    <w:p>
      <w:pPr>
        <w:pStyle w:val="21"/>
        <w:shd w:val="clear"/>
        <w:spacing w:before="120" w:after="120"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（1）未按照磋商文件规定要求签署、盖章的；</w:t>
      </w:r>
    </w:p>
    <w:p>
      <w:pPr>
        <w:pStyle w:val="21"/>
        <w:shd w:val="clear"/>
        <w:spacing w:before="120" w:after="120" w:line="360" w:lineRule="auto"/>
        <w:ind w:firstLine="480" w:firstLineChars="200"/>
        <w:jc w:val="lef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）供应商不具备磋商文件规定的资格要求的；</w:t>
      </w:r>
    </w:p>
    <w:p>
      <w:pPr>
        <w:pStyle w:val="21"/>
        <w:shd w:val="clear"/>
        <w:spacing w:before="120" w:after="120"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）报价超过磋商文件中规定的预算金或最高限价的；</w:t>
      </w:r>
    </w:p>
    <w:p>
      <w:pPr>
        <w:pStyle w:val="21"/>
        <w:shd w:val="clear"/>
        <w:spacing w:before="120" w:after="120"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4</w:t>
      </w:r>
      <w:r>
        <w:rPr>
          <w:rFonts w:hint="eastAsia" w:ascii="黑体" w:hAnsi="黑体" w:eastAsia="黑体" w:cs="黑体"/>
          <w:color w:val="auto"/>
          <w:sz w:val="24"/>
          <w:szCs w:val="24"/>
          <w:highlight w:val="none"/>
        </w:rPr>
        <w:t>）响应文件含有采购人不能接受的附加条件的；</w:t>
      </w:r>
    </w:p>
    <w:p>
      <w:pPr>
        <w:pStyle w:val="21"/>
        <w:shd w:val="clear"/>
        <w:spacing w:before="120" w:after="120"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rPr>
        <w:t>）不符合</w:t>
      </w:r>
      <w:r>
        <w:rPr>
          <w:rFonts w:hint="eastAsia" w:ascii="黑体" w:hAnsi="黑体" w:eastAsia="黑体" w:cs="黑体"/>
          <w:color w:val="auto"/>
          <w:sz w:val="24"/>
          <w:szCs w:val="24"/>
          <w:highlight w:val="none"/>
          <w:lang w:eastAsia="zh-CN"/>
        </w:rPr>
        <w:t>法律法规</w:t>
      </w:r>
      <w:r>
        <w:rPr>
          <w:rFonts w:hint="eastAsia" w:ascii="黑体" w:hAnsi="黑体" w:eastAsia="黑体" w:cs="黑体"/>
          <w:color w:val="auto"/>
          <w:sz w:val="24"/>
          <w:szCs w:val="24"/>
          <w:highlight w:val="none"/>
        </w:rPr>
        <w:t>和磋商文件中规定的其他实质性要求和条件的；</w:t>
      </w:r>
    </w:p>
    <w:p>
      <w:pPr>
        <w:pStyle w:val="21"/>
        <w:shd w:val="clear"/>
        <w:spacing w:before="120" w:after="120"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6</w:t>
      </w:r>
      <w:r>
        <w:rPr>
          <w:rFonts w:hint="eastAsia" w:ascii="黑体" w:hAnsi="黑体" w:eastAsia="黑体" w:cs="黑体"/>
          <w:color w:val="auto"/>
          <w:sz w:val="24"/>
          <w:szCs w:val="24"/>
          <w:highlight w:val="none"/>
        </w:rPr>
        <w:t>）出现影响采购公正的违法违纪行为的；</w:t>
      </w:r>
    </w:p>
    <w:p>
      <w:pPr>
        <w:pStyle w:val="21"/>
        <w:shd w:val="clear"/>
        <w:spacing w:before="120" w:after="120"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7</w:t>
      </w:r>
      <w:r>
        <w:rPr>
          <w:rFonts w:hint="eastAsia" w:ascii="黑体" w:hAnsi="黑体" w:eastAsia="黑体" w:cs="黑体"/>
          <w:color w:val="auto"/>
          <w:sz w:val="24"/>
          <w:szCs w:val="24"/>
          <w:highlight w:val="none"/>
        </w:rPr>
        <w:t>）其他</w:t>
      </w:r>
      <w:r>
        <w:rPr>
          <w:rFonts w:hint="eastAsia" w:ascii="黑体" w:hAnsi="黑体" w:eastAsia="黑体" w:cs="黑体"/>
          <w:color w:val="auto"/>
          <w:sz w:val="24"/>
          <w:szCs w:val="24"/>
          <w:highlight w:val="none"/>
          <w:lang w:eastAsia="zh-CN"/>
        </w:rPr>
        <w:t>法律法规</w:t>
      </w:r>
      <w:r>
        <w:rPr>
          <w:rFonts w:hint="eastAsia" w:ascii="黑体" w:hAnsi="黑体" w:eastAsia="黑体" w:cs="黑体"/>
          <w:color w:val="auto"/>
          <w:sz w:val="24"/>
          <w:szCs w:val="24"/>
          <w:highlight w:val="none"/>
        </w:rPr>
        <w:t>及本磋商文件规定的属未实质性响应的响应文件的情形。</w:t>
      </w:r>
    </w:p>
    <w:p>
      <w:pPr>
        <w:pStyle w:val="21"/>
        <w:shd w:val="clear"/>
        <w:spacing w:before="120" w:after="120"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5.4 未实质性响应磋商文件的响应文件按无效响应处理，磋商小组将予以拒绝，供应商不得通过修改或撤销不合要求的偏离或保留而使其响应文件成为实质性响应的文件。</w:t>
      </w:r>
    </w:p>
    <w:p>
      <w:pPr>
        <w:pStyle w:val="21"/>
        <w:shd w:val="clear"/>
        <w:spacing w:before="120" w:after="120"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6、磋商程序及评审方法和标准</w:t>
      </w:r>
    </w:p>
    <w:p>
      <w:pPr>
        <w:pStyle w:val="21"/>
        <w:shd w:val="clear"/>
        <w:spacing w:before="120" w:after="120"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6.1磋商程序</w:t>
      </w:r>
    </w:p>
    <w:p>
      <w:pPr>
        <w:pStyle w:val="21"/>
        <w:shd w:val="clear"/>
        <w:spacing w:before="120"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6.1.1 对于通过资格性和符合性审查的供应商，磋商小组所有成员将集中与单一供应商分别进行磋商。</w:t>
      </w:r>
    </w:p>
    <w:p>
      <w:pPr>
        <w:pStyle w:val="21"/>
        <w:shd w:val="clear"/>
        <w:spacing w:before="120"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pPr>
        <w:pStyle w:val="21"/>
        <w:shd w:val="clear"/>
        <w:spacing w:before="120"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6.1.2磋商文件能够详细列明采购标的的技术、服务要求的，磋商结束后，磋商小组将要求所有实质性响应的供应商在规定时间内提交最后报价。</w:t>
      </w:r>
    </w:p>
    <w:p>
      <w:pPr>
        <w:pStyle w:val="21"/>
        <w:shd w:val="clear"/>
        <w:spacing w:before="120"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磋商文件不能详细列明采购标的的技术、服务要求，需经磋商由供应商提供最终解决方案的，磋商结束后，磋商小组将按照少数服从多数的原则投票推荐3家以上供应商的解决方案，并要求其在规定时间内提交最后报价。</w:t>
      </w:r>
    </w:p>
    <w:p>
      <w:pPr>
        <w:pStyle w:val="21"/>
        <w:shd w:val="clear"/>
        <w:spacing w:before="120"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w:t>
      </w:r>
    </w:p>
    <w:p>
      <w:pPr>
        <w:pStyle w:val="21"/>
        <w:shd w:val="clear"/>
        <w:spacing w:before="120"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6.1.3 磋商供应商未在磋商小组规定的时间内完成最后报价的视为放弃磋商，其供应商响应文件按无效响应处理。最后报价须由磋商供应商定代表人或授权代表签字或者加盖公章。已提交响应文件的供应商，在提交最后报价之前，可以根据磋商情况退出磋商。</w:t>
      </w:r>
    </w:p>
    <w:p>
      <w:pPr>
        <w:pStyle w:val="21"/>
        <w:shd w:val="clear"/>
        <w:spacing w:before="120"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6.2 评审方法和标准</w:t>
      </w:r>
    </w:p>
    <w:p>
      <w:pPr>
        <w:pStyle w:val="21"/>
        <w:shd w:val="clear"/>
        <w:spacing w:before="120"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6.2.1评审方法。经磋商确定最终采购需求和提交最后报价的供应商后，由磋商小组采用综合评分法对提交最后报价的供应商的响应文件和最后报价进行综合评分。</w:t>
      </w:r>
    </w:p>
    <w:p>
      <w:pPr>
        <w:pStyle w:val="21"/>
        <w:shd w:val="clear"/>
        <w:spacing w:before="120"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pPr>
        <w:pStyle w:val="21"/>
        <w:shd w:val="clear"/>
        <w:spacing w:before="120"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6.2.2评审标准</w:t>
      </w:r>
    </w:p>
    <w:p>
      <w:pPr>
        <w:spacing w:line="440" w:lineRule="exact"/>
        <w:ind w:firstLine="480" w:firstLineChars="200"/>
        <w:jc w:val="lef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供应商价格部分和商务技术部分的合计分值，为该供应商的评审总得分（四舍五入保留两位小数）。综合得分评审后得分由高到低顺序排列，评出综合评审最优的投标人。若综合得分相同的，按投标报价由低到高顺序排列；综合得分且投标报价相同的，按技术标优劣顺序排列；若报价相同且技术标得分相同的，则采取抽签方式确认。投标文件满足磋商文件全部实质性要求且综合得分最高的投标人为第一成交候选人，依次类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62" w:firstLineChars="200"/>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b/>
          <w:color w:val="auto"/>
          <w:sz w:val="23"/>
          <w:szCs w:val="23"/>
          <w:highlight w:val="none"/>
          <w:u w:val="single"/>
          <w:lang w:val="en-US" w:eastAsia="zh-CN"/>
        </w:rPr>
        <w:t>注明：本项目共2个包件，投</w:t>
      </w:r>
      <w:r>
        <w:rPr>
          <w:rFonts w:hint="eastAsia" w:ascii="黑体" w:hAnsi="黑体" w:eastAsia="黑体" w:cs="黑体"/>
          <w:b/>
          <w:bCs/>
          <w:color w:val="auto"/>
          <w:kern w:val="0"/>
          <w:sz w:val="24"/>
          <w:szCs w:val="24"/>
          <w:highlight w:val="none"/>
          <w:u w:val="single"/>
          <w:lang w:val="en-US" w:eastAsia="zh-CN" w:bidi="ar-SA"/>
        </w:rPr>
        <w:t>标单位每个包件均可以参加投标，但兼投不兼中；若包件1经评审后排名为第一成交候选人的，包件2若还继续参与评审，并再次被评审为第一成交候选人的，包件2的第二成交候选人将顺延为第一成交候选人。</w:t>
      </w:r>
    </w:p>
    <w:p>
      <w:pPr>
        <w:spacing w:line="460" w:lineRule="exact"/>
        <w:ind w:firstLine="480" w:firstLineChars="200"/>
        <w:rPr>
          <w:rFonts w:hint="default"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6.2.3评委在认真审阅响应文件的基础上，根据各响应文件的响应程度独立评判，不得统一打分。</w:t>
      </w:r>
    </w:p>
    <w:p>
      <w:pPr>
        <w:pStyle w:val="21"/>
        <w:shd w:val="clear"/>
        <w:spacing w:before="120"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6.3采购活动终止的情况</w:t>
      </w:r>
    </w:p>
    <w:p>
      <w:pPr>
        <w:pStyle w:val="21"/>
        <w:shd w:val="clear"/>
        <w:spacing w:before="120"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出现下列情形之一的，本次竞争性磋商采购活动将被终止：</w:t>
      </w:r>
    </w:p>
    <w:p>
      <w:pPr>
        <w:pStyle w:val="21"/>
        <w:shd w:val="clear"/>
        <w:spacing w:before="120"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（1）因情况变化，不再符合规定的竞争性磋商采购方式适用情形的；</w:t>
      </w:r>
    </w:p>
    <w:p>
      <w:pPr>
        <w:pStyle w:val="21"/>
        <w:shd w:val="clear"/>
        <w:spacing w:before="120"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（2）出现影响采购公正的违法、违规行为的；</w:t>
      </w:r>
    </w:p>
    <w:p>
      <w:pPr>
        <w:pStyle w:val="21"/>
        <w:shd w:val="clear"/>
        <w:spacing w:before="120" w:after="120" w:line="360" w:lineRule="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五、成交</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1、确定成交单位</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1.1采购人根据磋商小组推荐的成交候选人确定成交供应商。采购人确定成交供应商后，代理机构将在</w:t>
      </w:r>
      <w:r>
        <w:rPr>
          <w:rFonts w:hint="eastAsia" w:ascii="黑体" w:hAnsi="黑体" w:eastAsia="黑体" w:cs="黑体"/>
          <w:color w:val="auto"/>
          <w:kern w:val="0"/>
          <w:sz w:val="24"/>
          <w:szCs w:val="24"/>
          <w:highlight w:val="none"/>
        </w:rPr>
        <w:t>南通经济技术开发区管理委员会（http://www.netda.gov.cn/）</w:t>
      </w:r>
      <w:r>
        <w:rPr>
          <w:rFonts w:hint="eastAsia" w:ascii="黑体" w:hAnsi="黑体" w:eastAsia="黑体" w:cs="黑体"/>
          <w:color w:val="auto"/>
          <w:sz w:val="24"/>
          <w:szCs w:val="24"/>
          <w:highlight w:val="none"/>
        </w:rPr>
        <w:t>发布</w:t>
      </w:r>
      <w:r>
        <w:rPr>
          <w:rFonts w:hint="eastAsia" w:ascii="黑体" w:hAnsi="黑体" w:eastAsia="黑体" w:cs="黑体"/>
          <w:color w:val="auto"/>
          <w:sz w:val="24"/>
          <w:szCs w:val="24"/>
          <w:highlight w:val="none"/>
          <w:lang w:eastAsia="zh-CN"/>
        </w:rPr>
        <w:t>成交</w:t>
      </w:r>
      <w:r>
        <w:rPr>
          <w:rFonts w:hint="eastAsia" w:ascii="黑体" w:hAnsi="黑体" w:eastAsia="黑体" w:cs="黑体"/>
          <w:color w:val="auto"/>
          <w:sz w:val="24"/>
          <w:szCs w:val="24"/>
          <w:highlight w:val="none"/>
        </w:rPr>
        <w:t>公告，公告期限为1个工作日。</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1.2若有充分证据证明，成交供应商出现下列情况之一的，一经查实，将被取消成交资格：</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（1）提供虚假材料谋取成交的；</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（2）与评审专家、采购人、其他供应商或者代理机构工作人员恶意串通的；</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（3）向评审专家、采购人或代理机构工作人员行贿或者提供其他不正当利益的；</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（4）恶意竞争，最终总报价明显低于其自身合理成本且又无法提供证明的；</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（5）不满足本磋商文件规定的实质性要求，但在评审过程中又未被磋商小组发现的；</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（6）成交后无正当理由拒不与采购人签订政府采购合同或者未按照磋商文件确定的事项签订政府采购合同；</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（7）将政府采购合同转包；</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w:t>
      </w:r>
      <w:r>
        <w:rPr>
          <w:rFonts w:hint="eastAsia" w:ascii="黑体" w:hAnsi="黑体" w:eastAsia="黑体" w:cs="黑体"/>
          <w:color w:val="auto"/>
          <w:sz w:val="24"/>
          <w:szCs w:val="24"/>
          <w:highlight w:val="none"/>
          <w:lang w:eastAsia="zh-CN"/>
        </w:rPr>
        <w:t>法律法规</w:t>
      </w:r>
      <w:r>
        <w:rPr>
          <w:rFonts w:hint="eastAsia" w:ascii="黑体" w:hAnsi="黑体" w:eastAsia="黑体" w:cs="黑体"/>
          <w:color w:val="auto"/>
          <w:sz w:val="24"/>
          <w:szCs w:val="24"/>
          <w:highlight w:val="none"/>
        </w:rPr>
        <w:t>、规章规定的属于成交无效的其他情形。</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2、质疑处理</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2.1磋商供应商认为磋商文件、采购过程和采购结果使自己的权益受到损害的，可以在知道或应知其权益受到损害之日起七个工作日内，以书面形式向代理机构或采购人提出质疑。上述应知其权益受到损害之日，是指：</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（1）对可以质疑的磋商文件提出质疑的，为收到磋商文件之日或者磋商文件公告期限届满之日；</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（2）对采购过程提出质疑的，为各采购程序环节结束之日；</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（3）对成交结果提出质疑的，为成交结果公告期限届满之日。</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2.2质疑必须由磋商供应商法定代表人或授权代表（响应文件中所确定的）以原件送达的方式提交，未按上述要求提交的质疑函（含传真、电子邮件等）代理机构有权不予受理。</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2.3未参加磋商采购活动的供应商或在磋商采购活动中自身权益未受到损害的供应商所提出的质疑不予受理。</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2.4质疑函应当包括下列内容：</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（1）质疑供应商的名称、地址、邮编、联系人、联系电话；</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（2）具体的质疑事项及明确的请求；</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（3）认为自己合法权益受到损害或可能受到损害的相关证据材料；</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（4）提起质疑的日期；</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质疑函应当署名：质疑人为自然人的，应当由本人签字并附有效身份证明；质疑人为法人或其他组织的，应当由法定代表人签字并加盖单位公章。质疑人委托代理质疑的，应当向代理机构提交授权委托书，并载明委托代理的具体权限和事项。</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2.5代理机构收到质疑函后，将对质疑的形式和内容进行审查，如质疑函内容、格式不符合规定，代理机构将告知质疑人进行补正。</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2.6质疑人应当在法定质疑期限内进行补正并重新提交质疑函，拒不补正或者在法定期限内未重新提交质疑函的，为无效质疑，代理机构有权不予受理。</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2.7对于内容、格式符合规定的质疑函，代理机构将在收到参加磋商供应商的书面质疑后七个工作日内作出答复，并以书面形式通知质疑供应商和其他相关供应商，答复的内容不涉及商业秘密。</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2.8供应商提出书面质疑必须有理、有据，不得恶意质疑或提交虚假质疑。否则，一经查实，代理机构有权依据政府采购的有关规定，报请政府采购监管部门对该供应商进行相应的行政处罚。</w:t>
      </w:r>
    </w:p>
    <w:p>
      <w:pPr>
        <w:pStyle w:val="21"/>
        <w:shd w:val="clear"/>
        <w:spacing w:line="440" w:lineRule="exact"/>
        <w:ind w:firstLine="462" w:firstLineChars="200"/>
        <w:rPr>
          <w:rFonts w:hint="eastAsia" w:ascii="黑体" w:hAnsi="黑体" w:eastAsia="黑体" w:cs="黑体"/>
          <w:b/>
          <w:bCs/>
          <w:color w:val="auto"/>
          <w:highlight w:val="none"/>
        </w:rPr>
      </w:pPr>
      <w:r>
        <w:rPr>
          <w:rFonts w:hint="eastAsia" w:ascii="黑体" w:hAnsi="黑体" w:eastAsia="黑体" w:cs="黑体"/>
          <w:b/>
          <w:bCs/>
          <w:color w:val="auto"/>
          <w:sz w:val="23"/>
          <w:szCs w:val="23"/>
          <w:highlight w:val="none"/>
        </w:rPr>
        <w:t>注明：本磋商文件要求所有投标供应商应在法定质疑期内一次性提出针对同一采购程序环节的质疑。</w:t>
      </w:r>
    </w:p>
    <w:p>
      <w:pPr>
        <w:pStyle w:val="21"/>
        <w:shd w:val="clear"/>
        <w:spacing w:before="120" w:after="120" w:line="360" w:lineRule="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六、合同签订相关事项</w:t>
      </w:r>
    </w:p>
    <w:p>
      <w:pPr>
        <w:pStyle w:val="21"/>
        <w:shd w:val="clear"/>
        <w:spacing w:before="120"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1、签订合同</w:t>
      </w:r>
    </w:p>
    <w:p>
      <w:pPr>
        <w:pStyle w:val="21"/>
        <w:shd w:val="clear"/>
        <w:spacing w:before="120"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1.l成交供应商确定后，代理机构将向成交供应商发出成交通知书。成交供应商应按成交通知书规定的时间、地点</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按照磋商文件确定的事项与采购人签订政府采购合同，且不得迟于成交通知书发出之日起十五日内，由此给采购人造成损失的，成交供应商还应承担赔偿责任。</w:t>
      </w:r>
    </w:p>
    <w:p>
      <w:pPr>
        <w:pStyle w:val="21"/>
        <w:shd w:val="clear"/>
        <w:spacing w:before="120"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 磋商文件、成交供应商的响应文件及磋商采购过程中有关澄清、承诺文件均应作为合同附件。</w:t>
      </w:r>
    </w:p>
    <w:p>
      <w:pPr>
        <w:pStyle w:val="21"/>
        <w:shd w:val="clear"/>
        <w:spacing w:before="120"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 签订合同后，成交供应商不得将成交产品或服务进行转包。未经采购人同意，成交供应商也不得采用分包的形式履行合同，否则采购人有权终止合同，成交供应商的履约保证金将不予退还。转包或分包造成采购人损失的，成交供应商应承担相应赔偿责任。</w:t>
      </w:r>
    </w:p>
    <w:p>
      <w:pPr>
        <w:pStyle w:val="21"/>
        <w:shd w:val="clear"/>
        <w:spacing w:before="120"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2、履约保证金</w:t>
      </w:r>
    </w:p>
    <w:p>
      <w:pPr>
        <w:pStyle w:val="21"/>
        <w:shd w:val="clear"/>
        <w:spacing w:before="120" w:after="120" w:line="360" w:lineRule="auto"/>
        <w:ind w:firstLine="480" w:firstLineChars="200"/>
        <w:rPr>
          <w:rFonts w:hint="eastAsia" w:ascii="黑体" w:hAnsi="黑体" w:eastAsia="黑体" w:cs="黑体"/>
          <w:b/>
          <w:bCs/>
          <w:color w:val="auto"/>
          <w:sz w:val="24"/>
          <w:szCs w:val="24"/>
          <w:highlight w:val="none"/>
        </w:rPr>
      </w:pPr>
      <w:r>
        <w:rPr>
          <w:rFonts w:hint="eastAsia" w:ascii="黑体" w:hAnsi="黑体" w:eastAsia="黑体" w:cs="黑体"/>
          <w:color w:val="auto"/>
          <w:sz w:val="24"/>
          <w:szCs w:val="24"/>
          <w:highlight w:val="none"/>
        </w:rPr>
        <w:t>2.1履约保证金为</w:t>
      </w:r>
      <w:r>
        <w:rPr>
          <w:rFonts w:hint="eastAsia" w:ascii="黑体" w:hAnsi="黑体" w:eastAsia="黑体" w:cs="黑体"/>
          <w:color w:val="auto"/>
          <w:sz w:val="24"/>
          <w:szCs w:val="24"/>
          <w:highlight w:val="none"/>
          <w:lang w:eastAsia="zh-CN"/>
        </w:rPr>
        <w:t>成交</w:t>
      </w:r>
      <w:r>
        <w:rPr>
          <w:rFonts w:hint="eastAsia" w:ascii="黑体" w:hAnsi="黑体" w:eastAsia="黑体" w:cs="黑体"/>
          <w:color w:val="auto"/>
          <w:sz w:val="24"/>
          <w:szCs w:val="24"/>
          <w:highlight w:val="none"/>
        </w:rPr>
        <w:t>价*5%。</w:t>
      </w:r>
      <w:r>
        <w:rPr>
          <w:rFonts w:hint="eastAsia" w:ascii="黑体" w:hAnsi="黑体" w:eastAsia="黑体" w:cs="黑体"/>
          <w:b/>
          <w:bCs/>
          <w:color w:val="auto"/>
          <w:sz w:val="24"/>
          <w:szCs w:val="24"/>
          <w:highlight w:val="none"/>
        </w:rPr>
        <w:t>履约保证金在本项目整个服务周期结束后无任何质量问题的前提下退还。</w:t>
      </w:r>
    </w:p>
    <w:p>
      <w:pPr>
        <w:pStyle w:val="22"/>
        <w:shd w:val="clear"/>
        <w:ind w:firstLine="482" w:firstLineChars="200"/>
        <w:rPr>
          <w:rFonts w:hint="eastAsia" w:ascii="黑体" w:hAnsi="黑体" w:eastAsia="黑体" w:cs="黑体"/>
          <w:b/>
          <w:color w:val="auto"/>
          <w:sz w:val="32"/>
          <w:szCs w:val="32"/>
          <w:highlight w:val="none"/>
        </w:rPr>
      </w:pPr>
      <w:r>
        <w:rPr>
          <w:rFonts w:hint="eastAsia" w:ascii="黑体" w:hAnsi="黑体" w:eastAsia="黑体" w:cs="黑体"/>
          <w:b/>
          <w:bCs/>
          <w:color w:val="auto"/>
          <w:kern w:val="2"/>
          <w:sz w:val="24"/>
          <w:szCs w:val="24"/>
          <w:highlight w:val="none"/>
          <w:lang w:val="en-US" w:eastAsia="zh-CN" w:bidi="ar-SA"/>
        </w:rPr>
        <w:t>备注：对政府采购信用档案中无不良记录的中小企业可免收履约保证金。</w:t>
      </w:r>
    </w:p>
    <w:p>
      <w:pPr>
        <w:pStyle w:val="35"/>
        <w:shd w:val="clear"/>
        <w:spacing w:before="0" w:after="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七、采购代理服务费</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本项目成交服务费</w:t>
      </w:r>
      <w:r>
        <w:rPr>
          <w:rFonts w:hint="eastAsia" w:ascii="黑体" w:hAnsi="黑体" w:eastAsia="黑体" w:cs="黑体"/>
          <w:color w:val="auto"/>
          <w:sz w:val="24"/>
          <w:szCs w:val="24"/>
          <w:highlight w:val="none"/>
          <w:lang w:val="en-US" w:eastAsia="zh-CN"/>
        </w:rPr>
        <w:t>为</w:t>
      </w:r>
      <w:r>
        <w:rPr>
          <w:rFonts w:hint="eastAsia" w:ascii="黑体" w:hAnsi="黑体" w:eastAsia="黑体" w:cs="黑体"/>
          <w:color w:val="auto"/>
          <w:sz w:val="24"/>
          <w:szCs w:val="24"/>
          <w:highlight w:val="none"/>
        </w:rPr>
        <w:t>人民币2000元，</w:t>
      </w:r>
      <w:r>
        <w:rPr>
          <w:rFonts w:hint="eastAsia" w:ascii="黑体" w:hAnsi="黑体" w:eastAsia="黑体" w:cs="黑体"/>
          <w:color w:val="auto"/>
          <w:sz w:val="24"/>
          <w:szCs w:val="24"/>
          <w:highlight w:val="none"/>
          <w:lang w:val="en-US" w:eastAsia="zh-CN"/>
        </w:rPr>
        <w:t>由采购人在</w:t>
      </w:r>
      <w:r>
        <w:rPr>
          <w:rFonts w:hint="eastAsia" w:ascii="黑体" w:hAnsi="黑体" w:eastAsia="黑体" w:cs="黑体"/>
          <w:color w:val="auto"/>
          <w:sz w:val="24"/>
          <w:szCs w:val="24"/>
          <w:highlight w:val="none"/>
        </w:rPr>
        <w:t>领取成交通知书前支付给采购代理机构。</w:t>
      </w:r>
      <w:r>
        <w:rPr>
          <w:rFonts w:hint="eastAsia" w:ascii="黑体" w:hAnsi="黑体" w:eastAsia="黑体" w:cs="黑体"/>
          <w:color w:val="auto"/>
          <w:highlight w:val="none"/>
        </w:rPr>
        <w:br w:type="page"/>
      </w:r>
    </w:p>
    <w:p>
      <w:pPr>
        <w:pStyle w:val="21"/>
        <w:shd w:val="clear"/>
        <w:spacing w:line="360" w:lineRule="auto"/>
        <w:ind w:firstLine="480"/>
        <w:jc w:val="center"/>
        <w:rPr>
          <w:rFonts w:hint="eastAsia" w:ascii="黑体" w:hAnsi="黑体" w:eastAsia="黑体" w:cs="黑体"/>
          <w:b/>
          <w:bCs/>
          <w:color w:val="auto"/>
          <w:kern w:val="0"/>
          <w:sz w:val="44"/>
          <w:szCs w:val="44"/>
          <w:highlight w:val="none"/>
        </w:rPr>
      </w:pPr>
      <w:r>
        <w:rPr>
          <w:rFonts w:hint="eastAsia" w:ascii="黑体" w:hAnsi="黑体" w:eastAsia="黑体" w:cs="黑体"/>
          <w:b/>
          <w:bCs/>
          <w:color w:val="auto"/>
          <w:kern w:val="0"/>
          <w:sz w:val="44"/>
          <w:szCs w:val="44"/>
          <w:highlight w:val="none"/>
        </w:rPr>
        <w:t>第三章 合同条款及格式</w:t>
      </w:r>
    </w:p>
    <w:p>
      <w:pPr>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pacing w:val="46"/>
          <w:sz w:val="24"/>
          <w:szCs w:val="24"/>
          <w:highlight w:val="none"/>
        </w:rPr>
        <w:t>采购单</w:t>
      </w:r>
      <w:r>
        <w:rPr>
          <w:rFonts w:hint="eastAsia" w:ascii="黑体" w:hAnsi="黑体" w:eastAsia="黑体" w:cs="黑体"/>
          <w:color w:val="auto"/>
          <w:spacing w:val="2"/>
          <w:sz w:val="24"/>
          <w:szCs w:val="24"/>
          <w:highlight w:val="none"/>
        </w:rPr>
        <w:t>位</w:t>
      </w:r>
      <w:r>
        <w:rPr>
          <w:rFonts w:hint="eastAsia" w:ascii="黑体" w:hAnsi="黑体" w:eastAsia="黑体" w:cs="黑体"/>
          <w:color w:val="auto"/>
          <w:sz w:val="24"/>
          <w:szCs w:val="24"/>
          <w:highlight w:val="none"/>
        </w:rPr>
        <w:t>（或称甲方）：</w:t>
      </w:r>
    </w:p>
    <w:p>
      <w:pPr>
        <w:shd w:val="clear"/>
        <w:spacing w:line="360" w:lineRule="auto"/>
        <w:rPr>
          <w:rFonts w:hint="eastAsia" w:ascii="黑体" w:hAnsi="黑体" w:eastAsia="黑体" w:cs="黑体"/>
          <w:bCs/>
          <w:color w:val="auto"/>
          <w:sz w:val="24"/>
          <w:szCs w:val="24"/>
          <w:highlight w:val="none"/>
        </w:rPr>
      </w:pPr>
      <w:r>
        <w:rPr>
          <w:rFonts w:hint="eastAsia" w:ascii="黑体" w:hAnsi="黑体" w:eastAsia="黑体" w:cs="黑体"/>
          <w:color w:val="auto"/>
          <w:sz w:val="24"/>
          <w:szCs w:val="24"/>
          <w:highlight w:val="none"/>
          <w:lang w:eastAsia="zh-CN"/>
        </w:rPr>
        <w:t>成交</w:t>
      </w:r>
      <w:r>
        <w:rPr>
          <w:rFonts w:hint="eastAsia" w:ascii="黑体" w:hAnsi="黑体" w:eastAsia="黑体" w:cs="黑体"/>
          <w:color w:val="auto"/>
          <w:sz w:val="24"/>
          <w:szCs w:val="24"/>
          <w:highlight w:val="none"/>
        </w:rPr>
        <w:t>供应商（或称乙方）：</w:t>
      </w:r>
    </w:p>
    <w:p>
      <w:pPr>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签订时间：</w:t>
      </w:r>
      <w:r>
        <w:rPr>
          <w:rFonts w:hint="eastAsia" w:ascii="黑体" w:hAnsi="黑体" w:eastAsia="黑体" w:cs="黑体"/>
          <w:color w:val="auto"/>
          <w:sz w:val="24"/>
          <w:szCs w:val="24"/>
          <w:highlight w:val="none"/>
          <w:u w:val="single"/>
        </w:rPr>
        <w:t xml:space="preserve">     年   月   日</w:t>
      </w:r>
    </w:p>
    <w:p>
      <w:pPr>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签订地点：</w:t>
      </w:r>
    </w:p>
    <w:p>
      <w:pPr>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根据《政府采购法</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民法典</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律师法》及    年    月    日（项目名称）</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项目</w:t>
      </w:r>
      <w:r>
        <w:rPr>
          <w:rFonts w:hint="eastAsia" w:ascii="黑体" w:hAnsi="黑体" w:eastAsia="黑体" w:cs="黑体"/>
          <w:color w:val="auto"/>
          <w:sz w:val="24"/>
          <w:szCs w:val="24"/>
          <w:highlight w:val="none"/>
          <w:u w:val="none"/>
          <w:lang w:val="en-US" w:eastAsia="zh-CN"/>
        </w:rPr>
        <w:t xml:space="preserve"> 及包件号（</w:t>
      </w:r>
      <w:r>
        <w:rPr>
          <w:rFonts w:hint="eastAsia" w:ascii="黑体" w:hAnsi="黑体" w:eastAsia="黑体" w:cs="黑体"/>
          <w:color w:val="auto"/>
          <w:sz w:val="24"/>
          <w:szCs w:val="24"/>
          <w:highlight w:val="none"/>
          <w:u w:val="none"/>
        </w:rPr>
        <w:t>采购编号</w:t>
      </w:r>
      <w:r>
        <w:rPr>
          <w:rFonts w:hint="eastAsia" w:ascii="黑体" w:hAnsi="黑体" w:eastAsia="黑体" w:cs="黑体"/>
          <w:color w:val="auto"/>
          <w:sz w:val="24"/>
          <w:szCs w:val="24"/>
          <w:highlight w:val="none"/>
          <w:u w:val="none"/>
          <w:lang w:eastAsia="zh-CN"/>
        </w:rPr>
        <w:t>）</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rPr>
        <w:t>的采购结果、采购文件及投标文件，经双方协商一致，签订本合同。</w:t>
      </w:r>
      <w:r>
        <w:rPr>
          <w:rFonts w:hint="eastAsia" w:ascii="仿宋" w:hAnsi="仿宋" w:eastAsia="仿宋" w:cs="仿宋"/>
          <w:color w:val="auto"/>
          <w:szCs w:val="21"/>
          <w:highlight w:val="none"/>
        </w:rPr>
        <w:t xml:space="preserve"> </w:t>
      </w:r>
      <w:r>
        <w:rPr>
          <w:rFonts w:hint="eastAsia" w:ascii="黑体" w:hAnsi="黑体" w:eastAsia="黑体" w:cs="黑体"/>
          <w:color w:val="auto"/>
          <w:sz w:val="24"/>
          <w:szCs w:val="24"/>
          <w:highlight w:val="none"/>
        </w:rPr>
        <w:t>甲乙双方按照诚实信用原则，经协商一致，立此合同，共同遵守。</w:t>
      </w:r>
    </w:p>
    <w:p>
      <w:pPr>
        <w:spacing w:line="360" w:lineRule="auto"/>
        <w:rPr>
          <w:rFonts w:hint="eastAsia" w:ascii="黑体" w:hAnsi="黑体" w:eastAsia="黑体" w:cs="黑体"/>
          <w:b/>
          <w:color w:val="auto"/>
          <w:sz w:val="24"/>
          <w:szCs w:val="24"/>
          <w:highlight w:val="none"/>
        </w:rPr>
      </w:pPr>
      <w:r>
        <w:rPr>
          <w:rFonts w:hint="eastAsia" w:ascii="仿宋" w:hAnsi="仿宋" w:eastAsia="仿宋" w:cs="仿宋"/>
          <w:color w:val="auto"/>
          <w:szCs w:val="21"/>
          <w:highlight w:val="none"/>
        </w:rPr>
        <w:t xml:space="preserve">   </w:t>
      </w:r>
      <w:r>
        <w:rPr>
          <w:rFonts w:hint="eastAsia" w:ascii="黑体" w:hAnsi="黑体" w:eastAsia="黑体" w:cs="黑体"/>
          <w:b/>
          <w:color w:val="auto"/>
          <w:sz w:val="24"/>
          <w:szCs w:val="24"/>
          <w:highlight w:val="none"/>
        </w:rPr>
        <w:t xml:space="preserve"> 第一条  甲方的委托事项及要求</w:t>
      </w:r>
    </w:p>
    <w:p>
      <w:pPr>
        <w:spacing w:line="360" w:lineRule="auto"/>
        <w:ind w:firstLine="480"/>
        <w:rPr>
          <w:rFonts w:hint="eastAsia" w:ascii="黑体" w:hAnsi="黑体" w:eastAsia="黑体" w:cs="黑体"/>
          <w:color w:val="auto"/>
          <w:sz w:val="24"/>
          <w:szCs w:val="24"/>
          <w:highlight w:val="none"/>
          <w:u w:val="single"/>
          <w:lang w:val="en-US" w:eastAsia="zh-CN"/>
        </w:rPr>
      </w:pPr>
      <w:r>
        <w:rPr>
          <w:rFonts w:hint="eastAsia" w:ascii="黑体" w:hAnsi="黑体" w:eastAsia="黑体" w:cs="黑体"/>
          <w:color w:val="auto"/>
          <w:sz w:val="24"/>
          <w:szCs w:val="24"/>
          <w:highlight w:val="none"/>
          <w:u w:val="single"/>
          <w:lang w:val="en-US" w:eastAsia="zh-CN"/>
        </w:rPr>
        <w:t>包件1/包件2的服务内容</w:t>
      </w:r>
    </w:p>
    <w:p>
      <w:pPr>
        <w:spacing w:line="360" w:lineRule="auto"/>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 xml:space="preserve">    第二条  乙方的义务</w:t>
      </w:r>
    </w:p>
    <w:p>
      <w:pPr>
        <w:spacing w:line="360" w:lineRule="auto"/>
        <w:ind w:firstLine="48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1．乙方委派</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律师（以下简称乙方律师）作为上述法律事务中甲方的专项法律顾问/委托代理人，甲方同意上述律师指派其他律师配合完成辅助工作，但乙方更换代理律师应取得甲方认可；</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2．乙方律师应当勤勉、尽责地完成第一条所列法律事务工作；</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3．乙方律师应当以其依据法律作出的判断，尽最大努力维护甲方利益；</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4．乙方律师应当在取得甲方提供的文件资料后，及时完成委托事项，并应甲方要求通报工作进程；</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5．乙方律师在履行本合同期间，不得为甲方员工个人提供不利于甲方的咨询意见；</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6．乙方律师对其获知的甲方商业秘密负有保密责任，非由法律规定或者甲方同意，不得向任何第三方披露；</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7．乙方对甲方业务应当单独建档，并保存完整的工作记录，对涉及甲方的原始证据、法律文件和财物应当妥善保管。</w:t>
      </w:r>
    </w:p>
    <w:p>
      <w:pPr>
        <w:spacing w:line="360" w:lineRule="auto"/>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 xml:space="preserve">    第三条  甲方的义务</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1．甲方应当真实、详尽和及时地向乙方律师叙述情况，提供与委托代理事项有关的证据、文件及其它事实材料；</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2．甲方应当积极、主动地配合乙方律师的工作，甲方对乙方律师提出的要求应当明确、合理；</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3．甲方应当按期、足额向乙方支付律师费和工作费用；</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4．甲方指定</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为乙方律师的联系人，负责转达甲方的指示和要求，提供文件和资料等，甲方更换联系人应当通知乙方；</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5．甲方有责任对委托代理事项作出独立的判断、决策，乙方律师有建议权。</w:t>
      </w:r>
    </w:p>
    <w:p>
      <w:pPr>
        <w:spacing w:line="360" w:lineRule="auto"/>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 xml:space="preserve">    第四条  律师代理费</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经双方协商同意，甲方向乙方支付法律服务费人民币</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元</w:t>
      </w:r>
      <w:r>
        <w:rPr>
          <w:rFonts w:hint="eastAsia" w:ascii="黑体" w:hAnsi="黑体" w:eastAsia="黑体" w:cs="黑体"/>
          <w:color w:val="auto"/>
          <w:sz w:val="24"/>
          <w:szCs w:val="24"/>
          <w:highlight w:val="none"/>
          <w:lang w:val="en-US" w:eastAsia="zh-CN"/>
        </w:rPr>
        <w:t>/年</w:t>
      </w:r>
      <w:r>
        <w:rPr>
          <w:rFonts w:hint="eastAsia" w:ascii="黑体" w:hAnsi="黑体" w:eastAsia="黑体" w:cs="黑体"/>
          <w:color w:val="auto"/>
          <w:sz w:val="24"/>
          <w:szCs w:val="24"/>
          <w:highlight w:val="none"/>
        </w:rPr>
        <w:t>。</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支付方式和期限为：</w:t>
      </w:r>
    </w:p>
    <w:p>
      <w:pPr>
        <w:spacing w:line="360" w:lineRule="auto"/>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　　</w:t>
      </w:r>
      <w:r>
        <w:rPr>
          <w:rFonts w:hint="eastAsia" w:ascii="黑体" w:hAnsi="黑体" w:eastAsia="黑体" w:cs="黑体"/>
          <w:b/>
          <w:color w:val="auto"/>
          <w:sz w:val="24"/>
          <w:szCs w:val="24"/>
          <w:highlight w:val="none"/>
        </w:rPr>
        <w:t>法律服务费在完全履行该法律服务项目并经甲方确认后一月内根据</w:t>
      </w:r>
      <w:r>
        <w:rPr>
          <w:rFonts w:hint="eastAsia" w:ascii="黑体" w:hAnsi="黑体" w:eastAsia="黑体" w:cs="黑体"/>
          <w:b/>
          <w:color w:val="auto"/>
          <w:sz w:val="24"/>
          <w:szCs w:val="24"/>
          <w:highlight w:val="none"/>
          <w:lang w:eastAsia="zh-CN"/>
        </w:rPr>
        <w:t>成交方</w:t>
      </w:r>
      <w:r>
        <w:rPr>
          <w:rFonts w:hint="eastAsia" w:ascii="黑体" w:hAnsi="黑体" w:eastAsia="黑体" w:cs="黑体"/>
          <w:b/>
          <w:color w:val="auto"/>
          <w:sz w:val="24"/>
          <w:szCs w:val="24"/>
          <w:highlight w:val="none"/>
        </w:rPr>
        <w:t>开具的发票支付至该项费用的100%。</w:t>
      </w:r>
    </w:p>
    <w:p>
      <w:pPr>
        <w:spacing w:line="360" w:lineRule="auto"/>
        <w:ind w:firstLine="48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乙方户名：</w:t>
      </w:r>
    </w:p>
    <w:p>
      <w:pPr>
        <w:spacing w:line="360" w:lineRule="auto"/>
        <w:ind w:firstLine="456"/>
        <w:rPr>
          <w:rFonts w:hint="eastAsia" w:ascii="黑体" w:hAnsi="黑体" w:eastAsia="黑体" w:cs="黑体"/>
          <w:color w:val="auto"/>
          <w:spacing w:val="-6"/>
          <w:sz w:val="24"/>
          <w:szCs w:val="24"/>
          <w:highlight w:val="none"/>
        </w:rPr>
      </w:pPr>
      <w:r>
        <w:rPr>
          <w:rFonts w:hint="eastAsia" w:ascii="黑体" w:hAnsi="黑体" w:eastAsia="黑体" w:cs="黑体"/>
          <w:color w:val="auto"/>
          <w:spacing w:val="-6"/>
          <w:sz w:val="24"/>
          <w:szCs w:val="24"/>
          <w:highlight w:val="none"/>
        </w:rPr>
        <w:t>开户行：</w:t>
      </w:r>
    </w:p>
    <w:p>
      <w:pPr>
        <w:spacing w:line="360" w:lineRule="auto"/>
        <w:ind w:firstLine="456"/>
        <w:rPr>
          <w:rFonts w:hint="eastAsia" w:ascii="黑体" w:hAnsi="黑体" w:eastAsia="黑体" w:cs="黑体"/>
          <w:color w:val="auto"/>
          <w:spacing w:val="-6"/>
          <w:sz w:val="24"/>
          <w:szCs w:val="24"/>
          <w:highlight w:val="none"/>
        </w:rPr>
      </w:pPr>
      <w:r>
        <w:rPr>
          <w:rFonts w:hint="eastAsia" w:ascii="黑体" w:hAnsi="黑体" w:eastAsia="黑体" w:cs="黑体"/>
          <w:color w:val="auto"/>
          <w:spacing w:val="-6"/>
          <w:sz w:val="24"/>
          <w:szCs w:val="24"/>
          <w:highlight w:val="none"/>
        </w:rPr>
        <w:t>账号：</w:t>
      </w:r>
      <w:r>
        <w:rPr>
          <w:rFonts w:hint="eastAsia" w:ascii="黑体" w:hAnsi="黑体" w:eastAsia="黑体" w:cs="黑体"/>
          <w:color w:val="auto"/>
          <w:sz w:val="24"/>
          <w:szCs w:val="24"/>
          <w:highlight w:val="none"/>
        </w:rPr>
        <w:t xml:space="preserve">  </w:t>
      </w:r>
    </w:p>
    <w:p>
      <w:pPr>
        <w:spacing w:line="360" w:lineRule="auto"/>
        <w:ind w:firstLine="48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本合同终止或者提前解除的，双方应结清有关费用。</w:t>
      </w:r>
    </w:p>
    <w:p>
      <w:pPr>
        <w:pStyle w:val="11"/>
        <w:shd w:val="clear"/>
        <w:spacing w:line="520" w:lineRule="exact"/>
        <w:ind w:firstLine="482" w:firstLineChars="200"/>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第</w:t>
      </w:r>
      <w:r>
        <w:rPr>
          <w:rFonts w:hint="eastAsia" w:ascii="黑体" w:hAnsi="黑体" w:eastAsia="黑体" w:cs="黑体"/>
          <w:b/>
          <w:color w:val="auto"/>
          <w:sz w:val="24"/>
          <w:szCs w:val="24"/>
          <w:highlight w:val="none"/>
          <w:lang w:val="en-US" w:eastAsia="zh-CN"/>
        </w:rPr>
        <w:t>五</w:t>
      </w:r>
      <w:r>
        <w:rPr>
          <w:rFonts w:hint="eastAsia" w:ascii="黑体" w:hAnsi="黑体" w:eastAsia="黑体" w:cs="黑体"/>
          <w:b/>
          <w:color w:val="auto"/>
          <w:sz w:val="24"/>
          <w:szCs w:val="24"/>
          <w:highlight w:val="none"/>
        </w:rPr>
        <w:t>条</w:t>
      </w:r>
      <w:r>
        <w:rPr>
          <w:rFonts w:hint="eastAsia" w:ascii="黑体" w:hAnsi="黑体" w:eastAsia="黑体" w:cs="黑体"/>
          <w:b/>
          <w:color w:val="auto"/>
          <w:sz w:val="24"/>
          <w:szCs w:val="24"/>
          <w:highlight w:val="none"/>
          <w:lang w:val="en-US" w:eastAsia="zh-CN"/>
        </w:rPr>
        <w:t xml:space="preserve"> </w:t>
      </w:r>
      <w:r>
        <w:rPr>
          <w:rFonts w:hint="eastAsia" w:ascii="黑体" w:hAnsi="黑体" w:eastAsia="黑体" w:cs="黑体"/>
          <w:color w:val="auto"/>
          <w:sz w:val="24"/>
          <w:szCs w:val="24"/>
          <w:highlight w:val="none"/>
        </w:rPr>
        <w:t>转包或分包</w:t>
      </w:r>
    </w:p>
    <w:p>
      <w:pPr>
        <w:pStyle w:val="11"/>
        <w:shd w:val="clear"/>
        <w:spacing w:line="52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 xml:space="preserve"> 本合同范围的服务，应由乙方直接服务，不得转让他人。</w:t>
      </w:r>
    </w:p>
    <w:p>
      <w:pPr>
        <w:pStyle w:val="11"/>
        <w:shd w:val="clear"/>
        <w:spacing w:line="52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 xml:space="preserve"> 除非得到甲方的书面同意，乙方不得部分分包给他人。</w:t>
      </w:r>
    </w:p>
    <w:p>
      <w:pPr>
        <w:pStyle w:val="11"/>
        <w:shd w:val="clear"/>
        <w:spacing w:line="52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 xml:space="preserve"> 如有转让和未经甲方同意的分包行为，甲方有权予以终止合同。</w:t>
      </w:r>
    </w:p>
    <w:p>
      <w:pPr>
        <w:pStyle w:val="10"/>
        <w:spacing w:after="0" w:line="360" w:lineRule="auto"/>
        <w:ind w:firstLine="482" w:firstLineChars="200"/>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第六条 本项目履约保证金金额</w:t>
      </w:r>
      <w:r>
        <w:rPr>
          <w:rFonts w:hint="eastAsia" w:ascii="黑体" w:hAnsi="黑体" w:eastAsia="黑体" w:cs="黑体"/>
          <w:b/>
          <w:color w:val="auto"/>
          <w:sz w:val="24"/>
          <w:szCs w:val="24"/>
          <w:highlight w:val="none"/>
          <w:u w:val="single"/>
        </w:rPr>
        <w:t>：</w:t>
      </w:r>
      <w:r>
        <w:rPr>
          <w:rFonts w:hint="eastAsia" w:ascii="黑体" w:hAnsi="黑体" w:eastAsia="黑体" w:cs="黑体"/>
          <w:b/>
          <w:color w:val="auto"/>
          <w:sz w:val="24"/>
          <w:szCs w:val="24"/>
          <w:highlight w:val="none"/>
          <w:u w:val="single"/>
          <w:lang w:val="en-US" w:eastAsia="zh-CN"/>
        </w:rPr>
        <w:t xml:space="preserve">   </w:t>
      </w:r>
      <w:r>
        <w:rPr>
          <w:rFonts w:hint="eastAsia" w:ascii="黑体" w:hAnsi="黑体" w:eastAsia="黑体" w:cs="黑体"/>
          <w:b/>
          <w:color w:val="auto"/>
          <w:sz w:val="24"/>
          <w:szCs w:val="24"/>
          <w:highlight w:val="none"/>
        </w:rPr>
        <w:t>万元，在合同签订前缴纳给甲方，在本项目全过程事务均结束且经甲方确认无任何异议后无息退还。</w:t>
      </w:r>
    </w:p>
    <w:p>
      <w:pPr>
        <w:spacing w:line="360" w:lineRule="auto"/>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 xml:space="preserve">    第七条  合同的解除</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（一）甲乙双方经协商同意，可以变更或者解除本合同。</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（二）乙方有下列情形之一的，甲方有权解除本合同：</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1．未经甲方同意，擅自更换代理律师的；</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2．因乙方律师工作延误、失职、失误导致甲方蒙受损失的。</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（三）甲方有下列情形之一的，乙方有权解除本合同：</w:t>
      </w:r>
    </w:p>
    <w:p>
      <w:pPr>
        <w:spacing w:line="360" w:lineRule="auto"/>
        <w:ind w:firstLine="48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1．甲方的委托事项违反法律或者违反律师执业规范的；</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．甲方逾期30日仍不向乙方支付律师费或者工作费用的。</w:t>
      </w:r>
    </w:p>
    <w:p>
      <w:pPr>
        <w:spacing w:line="360" w:lineRule="auto"/>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 xml:space="preserve">    第八条  违约责任</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乙方无正当理由不提供第一条规定的法律服务或者违反第二条规定的义务，甲方有权要求乙方退还部分或者全部已付的律师费。</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乙方律师因工作延误、失职、失误导致甲方蒙受损失，或者违反第二条第5-7项规定的义务之一的，乙方应当通过其所投保的执业保险机构向甲方承担赔偿责任。</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甲方无正当理由不支付律师费或者工作费用，或者无故终止合同，乙方有权要求甲方支付未付的律师费、未报销的工作费用以及延期支付的利息。</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甲方不得以如下非正当理由要求乙方退费：</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1．甲方单方面又委托其他律师事务所的律师代理的；</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2．乙方完成委托代理事项后，甲方以乙方收费过高为由要求退费的；</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3．其他非因乙方或者乙方律师的原因，甲方无故终止合同的。</w:t>
      </w:r>
    </w:p>
    <w:p>
      <w:pPr>
        <w:spacing w:line="360" w:lineRule="auto"/>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 xml:space="preserve">    第九条  争议的解决</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本合同适用中华人民共和国《民法典</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律师法</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民事诉讼法》/《仲裁法》等法律。</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甲乙双方如果发生争议，应当友好协商解决。如协商不成，任何一方均有权将争议在合同履行地法院提起诉讼。</w:t>
      </w:r>
    </w:p>
    <w:p>
      <w:pPr>
        <w:spacing w:line="360" w:lineRule="auto"/>
        <w:rPr>
          <w:rFonts w:hint="eastAsia" w:ascii="黑体" w:hAnsi="黑体" w:eastAsia="黑体" w:cs="黑体"/>
          <w:b/>
          <w:color w:val="auto"/>
          <w:sz w:val="24"/>
          <w:szCs w:val="24"/>
          <w:highlight w:val="none"/>
        </w:rPr>
      </w:pPr>
      <w:r>
        <w:rPr>
          <w:rFonts w:hint="eastAsia" w:ascii="黑体" w:hAnsi="黑体" w:eastAsia="黑体" w:cs="黑体"/>
          <w:color w:val="auto"/>
          <w:sz w:val="24"/>
          <w:szCs w:val="24"/>
          <w:highlight w:val="none"/>
        </w:rPr>
        <w:t xml:space="preserve">   </w:t>
      </w:r>
      <w:r>
        <w:rPr>
          <w:rFonts w:hint="eastAsia" w:ascii="黑体" w:hAnsi="黑体" w:eastAsia="黑体" w:cs="黑体"/>
          <w:b/>
          <w:color w:val="auto"/>
          <w:sz w:val="24"/>
          <w:szCs w:val="24"/>
          <w:highlight w:val="none"/>
        </w:rPr>
        <w:t xml:space="preserve"> 第十条  合同的生效</w:t>
      </w:r>
    </w:p>
    <w:p>
      <w:pPr>
        <w:spacing w:line="360" w:lineRule="auto"/>
        <w:ind w:firstLine="48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本合同正本一式两份，甲方执一份，乙方执一份，由甲乙双方代表签字/并加盖公章，自</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年</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月</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日之日起生效，至乙方完成甲方所委托的代理事项为止。</w:t>
      </w:r>
    </w:p>
    <w:p>
      <w:pPr>
        <w:spacing w:line="360" w:lineRule="auto"/>
        <w:ind w:firstLine="482"/>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第十一条  通知和送达</w:t>
      </w:r>
    </w:p>
    <w:p>
      <w:pPr>
        <w:spacing w:line="360" w:lineRule="auto"/>
        <w:ind w:firstLine="48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甲乙双方因履行本合同而相互发生或者提供的所有通知、文件、资料，均以扉页所列明的地址、传真送达，一方如果迁址或者变更电话，应当书面通知对方。</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通过传真方式的，在发出传真时视为送达；以邮寄方式的，挂号寄出或者投邮当日视为送达。</w:t>
      </w:r>
    </w:p>
    <w:p>
      <w:pPr>
        <w:spacing w:after="156" w:afterLines="50" w:line="360" w:lineRule="auto"/>
        <w:ind w:firstLine="480"/>
        <w:rPr>
          <w:rFonts w:hint="eastAsia" w:ascii="黑体" w:hAnsi="黑体" w:eastAsia="黑体" w:cs="黑体"/>
          <w:color w:val="auto"/>
          <w:sz w:val="24"/>
          <w:szCs w:val="24"/>
          <w:highlight w:val="none"/>
        </w:rPr>
      </w:pPr>
    </w:p>
    <w:p>
      <w:pPr>
        <w:spacing w:line="360" w:lineRule="auto"/>
        <w:ind w:firstLine="48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甲方：                                乙方：</w:t>
      </w:r>
    </w:p>
    <w:p>
      <w:pPr>
        <w:spacing w:line="360" w:lineRule="auto"/>
        <w:ind w:firstLine="48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代表：                                代表：</w:t>
      </w:r>
    </w:p>
    <w:p>
      <w:pPr>
        <w:spacing w:line="360" w:lineRule="auto"/>
        <w:ind w:firstLine="48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签约日期：</w:t>
      </w:r>
      <w:r>
        <w:rPr>
          <w:rFonts w:hint="eastAsia" w:ascii="黑体" w:hAnsi="黑体" w:eastAsia="黑体" w:cs="黑体"/>
          <w:color w:val="auto"/>
          <w:sz w:val="24"/>
          <w:szCs w:val="24"/>
          <w:highlight w:val="none"/>
        </w:rPr>
        <w:tab/>
      </w:r>
      <w:r>
        <w:rPr>
          <w:rFonts w:hint="eastAsia" w:ascii="黑体" w:hAnsi="黑体" w:eastAsia="黑体" w:cs="黑体"/>
          <w:color w:val="auto"/>
          <w:sz w:val="24"/>
          <w:szCs w:val="24"/>
          <w:highlight w:val="none"/>
        </w:rPr>
        <w:t xml:space="preserve">   年   月   日</w:t>
      </w:r>
      <w:r>
        <w:rPr>
          <w:rFonts w:hint="eastAsia" w:ascii="黑体" w:hAnsi="黑体" w:eastAsia="黑体" w:cs="黑体"/>
          <w:color w:val="auto"/>
          <w:sz w:val="24"/>
          <w:szCs w:val="24"/>
          <w:highlight w:val="none"/>
        </w:rPr>
        <w:tab/>
      </w:r>
      <w:r>
        <w:rPr>
          <w:rFonts w:hint="eastAsia" w:ascii="黑体" w:hAnsi="黑体" w:eastAsia="黑体" w:cs="黑体"/>
          <w:color w:val="auto"/>
          <w:sz w:val="24"/>
          <w:szCs w:val="24"/>
          <w:highlight w:val="none"/>
        </w:rPr>
        <w:tab/>
      </w:r>
      <w:r>
        <w:rPr>
          <w:rFonts w:hint="eastAsia" w:ascii="黑体" w:hAnsi="黑体" w:eastAsia="黑体" w:cs="黑体"/>
          <w:color w:val="auto"/>
          <w:sz w:val="24"/>
          <w:szCs w:val="24"/>
          <w:highlight w:val="none"/>
        </w:rPr>
        <w:tab/>
      </w:r>
      <w:r>
        <w:rPr>
          <w:rFonts w:hint="eastAsia" w:ascii="黑体" w:hAnsi="黑体" w:eastAsia="黑体" w:cs="黑体"/>
          <w:color w:val="auto"/>
          <w:sz w:val="24"/>
          <w:szCs w:val="24"/>
          <w:highlight w:val="none"/>
        </w:rPr>
        <w:t>签约日期：</w:t>
      </w:r>
      <w:r>
        <w:rPr>
          <w:rFonts w:hint="eastAsia" w:ascii="黑体" w:hAnsi="黑体" w:eastAsia="黑体" w:cs="黑体"/>
          <w:color w:val="auto"/>
          <w:sz w:val="24"/>
          <w:szCs w:val="24"/>
          <w:highlight w:val="none"/>
        </w:rPr>
        <w:tab/>
      </w:r>
      <w:r>
        <w:rPr>
          <w:rFonts w:hint="eastAsia" w:ascii="黑体" w:hAnsi="黑体" w:eastAsia="黑体" w:cs="黑体"/>
          <w:color w:val="auto"/>
          <w:sz w:val="24"/>
          <w:szCs w:val="24"/>
          <w:highlight w:val="none"/>
        </w:rPr>
        <w:t xml:space="preserve">   年   月   日</w:t>
      </w:r>
    </w:p>
    <w:p>
      <w:pPr>
        <w:spacing w:line="360" w:lineRule="auto"/>
        <w:rPr>
          <w:rFonts w:hint="eastAsia" w:ascii="仿宋" w:hAnsi="仿宋" w:eastAsia="仿宋" w:cs="仿宋"/>
          <w:color w:val="auto"/>
          <w:szCs w:val="21"/>
          <w:highlight w:val="none"/>
        </w:rPr>
      </w:pPr>
    </w:p>
    <w:p>
      <w:pPr>
        <w:shd w:val="clear"/>
        <w:snapToGrid w:val="0"/>
        <w:spacing w:line="480" w:lineRule="exact"/>
        <w:ind w:firstLine="465"/>
        <w:contextualSpacing/>
        <w:outlineLvl w:val="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w:t>
      </w:r>
    </w:p>
    <w:p>
      <w:pPr>
        <w:shd w:val="clear"/>
        <w:jc w:val="center"/>
        <w:rPr>
          <w:rFonts w:hint="eastAsia" w:ascii="黑体" w:hAnsi="黑体" w:eastAsia="黑体" w:cs="黑体"/>
          <w:color w:val="auto"/>
          <w:sz w:val="32"/>
          <w:szCs w:val="32"/>
          <w:highlight w:val="none"/>
        </w:rPr>
      </w:pPr>
    </w:p>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p>
    <w:p>
      <w:pPr>
        <w:shd w:val="clear"/>
        <w:jc w:val="center"/>
        <w:rPr>
          <w:rFonts w:hint="eastAsia" w:ascii="黑体" w:hAnsi="黑体" w:eastAsia="黑体" w:cs="黑体"/>
          <w:b/>
          <w:bCs/>
          <w:color w:val="auto"/>
          <w:sz w:val="24"/>
          <w:highlight w:val="none"/>
        </w:rPr>
      </w:pPr>
      <w:r>
        <w:rPr>
          <w:rFonts w:hint="eastAsia" w:ascii="黑体" w:hAnsi="黑体" w:eastAsia="黑体" w:cs="黑体"/>
          <w:color w:val="auto"/>
          <w:sz w:val="32"/>
          <w:szCs w:val="32"/>
          <w:highlight w:val="none"/>
        </w:rPr>
        <w:t>第四章  项目需求</w:t>
      </w:r>
    </w:p>
    <w:p>
      <w:pPr>
        <w:pStyle w:val="5"/>
        <w:keepNext w:val="0"/>
        <w:keepLines w:val="0"/>
        <w:shd w:val="clear"/>
        <w:adjustRightInd w:val="0"/>
        <w:snapToGrid w:val="0"/>
        <w:spacing w:before="0" w:after="0" w:line="360" w:lineRule="auto"/>
        <w:ind w:firstLine="482" w:firstLineChars="200"/>
        <w:jc w:val="left"/>
        <w:textAlignment w:val="baseline"/>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一、项目内容及要求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color w:val="auto"/>
          <w:highlight w:val="none"/>
        </w:rPr>
      </w:pPr>
      <w:r>
        <w:rPr>
          <w:rFonts w:hint="eastAsia" w:ascii="黑体" w:hAnsi="黑体" w:eastAsia="黑体" w:cs="黑体"/>
          <w:color w:val="auto"/>
          <w:kern w:val="2"/>
          <w:sz w:val="24"/>
          <w:szCs w:val="24"/>
          <w:highlight w:val="none"/>
          <w:lang w:val="en-US" w:eastAsia="zh-CN" w:bidi="ar-SA"/>
        </w:rPr>
        <w:t>本项目分为两个包件，通过竞争性磋商的方式共</w:t>
      </w:r>
      <w:r>
        <w:rPr>
          <w:rFonts w:hint="default" w:ascii="黑体" w:hAnsi="黑体" w:eastAsia="黑体" w:cs="黑体"/>
          <w:color w:val="auto"/>
          <w:kern w:val="2"/>
          <w:sz w:val="24"/>
          <w:szCs w:val="24"/>
          <w:highlight w:val="none"/>
          <w:lang w:val="en-US" w:eastAsia="zh-CN" w:bidi="ar-SA"/>
        </w:rPr>
        <w:t>选聘</w:t>
      </w:r>
      <w:r>
        <w:rPr>
          <w:rFonts w:hint="eastAsia" w:ascii="黑体" w:hAnsi="黑体" w:eastAsia="黑体" w:cs="黑体"/>
          <w:color w:val="auto"/>
          <w:kern w:val="2"/>
          <w:sz w:val="24"/>
          <w:szCs w:val="24"/>
          <w:highlight w:val="none"/>
          <w:lang w:val="en-US" w:eastAsia="zh-CN" w:bidi="ar-SA"/>
        </w:rPr>
        <w:t>两</w:t>
      </w:r>
      <w:r>
        <w:rPr>
          <w:rFonts w:hint="default" w:ascii="黑体" w:hAnsi="黑体" w:eastAsia="黑体" w:cs="黑体"/>
          <w:color w:val="auto"/>
          <w:kern w:val="2"/>
          <w:sz w:val="24"/>
          <w:szCs w:val="24"/>
          <w:highlight w:val="none"/>
          <w:lang w:val="en-US" w:eastAsia="zh-CN" w:bidi="ar-SA"/>
        </w:rPr>
        <w:t>家专业律师事务所作为</w:t>
      </w:r>
      <w:r>
        <w:rPr>
          <w:rFonts w:hint="eastAsia" w:ascii="黑体" w:hAnsi="黑体" w:eastAsia="黑体" w:cs="黑体"/>
          <w:color w:val="auto"/>
          <w:kern w:val="2"/>
          <w:sz w:val="24"/>
          <w:szCs w:val="24"/>
          <w:highlight w:val="none"/>
          <w:lang w:val="en-US" w:eastAsia="zh-CN" w:bidi="ar-SA"/>
        </w:rPr>
        <w:t>采购</w:t>
      </w:r>
      <w:r>
        <w:rPr>
          <w:rFonts w:hint="default" w:ascii="黑体" w:hAnsi="黑体" w:eastAsia="黑体" w:cs="黑体"/>
          <w:color w:val="auto"/>
          <w:kern w:val="2"/>
          <w:sz w:val="24"/>
          <w:szCs w:val="24"/>
          <w:highlight w:val="none"/>
          <w:lang w:val="en-US" w:eastAsia="zh-CN" w:bidi="ar-SA"/>
        </w:rPr>
        <w:t>人常年法律顾问机构，在</w:t>
      </w:r>
      <w:r>
        <w:rPr>
          <w:rFonts w:hint="eastAsia" w:ascii="黑体" w:hAnsi="黑体" w:eastAsia="黑体" w:cs="黑体"/>
          <w:color w:val="auto"/>
          <w:kern w:val="2"/>
          <w:sz w:val="24"/>
          <w:szCs w:val="24"/>
          <w:highlight w:val="none"/>
          <w:lang w:val="en-US" w:eastAsia="zh-CN" w:bidi="ar-SA"/>
        </w:rPr>
        <w:t>区</w:t>
      </w:r>
      <w:r>
        <w:rPr>
          <w:rFonts w:hint="default" w:ascii="黑体" w:hAnsi="黑体" w:eastAsia="黑体" w:cs="黑体"/>
          <w:color w:val="auto"/>
          <w:kern w:val="2"/>
          <w:sz w:val="24"/>
          <w:szCs w:val="24"/>
          <w:highlight w:val="none"/>
          <w:lang w:val="en-US" w:eastAsia="zh-CN" w:bidi="ar-SA"/>
        </w:rPr>
        <w:t>总工会内部管理、重大事项决策、重要合同审阅等方面为</w:t>
      </w:r>
      <w:r>
        <w:rPr>
          <w:rFonts w:hint="eastAsia" w:ascii="黑体" w:hAnsi="黑体" w:eastAsia="黑体" w:cs="黑体"/>
          <w:color w:val="auto"/>
          <w:kern w:val="2"/>
          <w:sz w:val="24"/>
          <w:szCs w:val="24"/>
          <w:highlight w:val="none"/>
          <w:lang w:val="en-US" w:eastAsia="zh-CN" w:bidi="ar-SA"/>
        </w:rPr>
        <w:t>采购</w:t>
      </w:r>
      <w:r>
        <w:rPr>
          <w:rFonts w:hint="default" w:ascii="黑体" w:hAnsi="黑体" w:eastAsia="黑体" w:cs="黑体"/>
          <w:color w:val="auto"/>
          <w:kern w:val="2"/>
          <w:sz w:val="24"/>
          <w:szCs w:val="24"/>
          <w:highlight w:val="none"/>
          <w:lang w:val="en-US" w:eastAsia="zh-CN" w:bidi="ar-SA"/>
        </w:rPr>
        <w:t>人提供法律服务。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黑体" w:hAnsi="黑体" w:eastAsia="黑体" w:cs="黑体"/>
          <w:color w:val="auto"/>
          <w:kern w:val="2"/>
          <w:sz w:val="24"/>
          <w:szCs w:val="24"/>
          <w:highlight w:val="none"/>
          <w:u w:val="single"/>
          <w:lang w:val="en-US" w:eastAsia="zh-CN" w:bidi="ar-SA"/>
        </w:rPr>
      </w:pPr>
      <w:r>
        <w:rPr>
          <w:rFonts w:hint="eastAsia" w:ascii="黑体" w:hAnsi="黑体" w:eastAsia="黑体" w:cs="黑体"/>
          <w:color w:val="auto"/>
          <w:kern w:val="2"/>
          <w:sz w:val="24"/>
          <w:szCs w:val="24"/>
          <w:highlight w:val="none"/>
          <w:u w:val="single"/>
          <w:lang w:val="en-US" w:eastAsia="zh-CN" w:bidi="ar-SA"/>
        </w:rPr>
        <w:t>包件1：南通经济技术开发区总工会聘请法律顾问单位服务采购项目（工会调解、法律宣传、职工法律援助等方向）服务内容：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1</w:t>
      </w:r>
      <w:r>
        <w:rPr>
          <w:rFonts w:hint="default" w:ascii="黑体" w:hAnsi="黑体" w:eastAsia="黑体" w:cs="黑体"/>
          <w:color w:val="auto"/>
          <w:kern w:val="2"/>
          <w:sz w:val="24"/>
          <w:szCs w:val="24"/>
          <w:highlight w:val="none"/>
          <w:lang w:val="en-US" w:eastAsia="zh-CN" w:bidi="ar-SA"/>
        </w:rPr>
        <w:t>.协助</w:t>
      </w:r>
      <w:r>
        <w:rPr>
          <w:rFonts w:hint="eastAsia" w:ascii="黑体" w:hAnsi="黑体" w:eastAsia="黑体" w:cs="黑体"/>
          <w:color w:val="auto"/>
          <w:kern w:val="2"/>
          <w:sz w:val="24"/>
          <w:szCs w:val="24"/>
          <w:highlight w:val="none"/>
          <w:lang w:val="en-US" w:eastAsia="zh-CN" w:bidi="ar-SA"/>
        </w:rPr>
        <w:t>区</w:t>
      </w:r>
      <w:r>
        <w:rPr>
          <w:rFonts w:hint="default" w:ascii="黑体" w:hAnsi="黑体" w:eastAsia="黑体" w:cs="黑体"/>
          <w:color w:val="auto"/>
          <w:kern w:val="2"/>
          <w:sz w:val="24"/>
          <w:szCs w:val="24"/>
          <w:highlight w:val="none"/>
          <w:lang w:val="en-US" w:eastAsia="zh-CN" w:bidi="ar-SA"/>
        </w:rPr>
        <w:t>总工会开展</w:t>
      </w:r>
      <w:r>
        <w:rPr>
          <w:rFonts w:hint="eastAsia" w:ascii="黑体" w:hAnsi="黑体" w:eastAsia="黑体" w:cs="黑体"/>
          <w:color w:val="auto"/>
          <w:kern w:val="2"/>
          <w:sz w:val="24"/>
          <w:szCs w:val="24"/>
          <w:highlight w:val="none"/>
          <w:lang w:val="en-US" w:eastAsia="zh-CN" w:bidi="ar-SA"/>
        </w:rPr>
        <w:t>法治</w:t>
      </w:r>
      <w:r>
        <w:rPr>
          <w:rFonts w:hint="default" w:ascii="黑体" w:hAnsi="黑体" w:eastAsia="黑体" w:cs="黑体"/>
          <w:color w:val="auto"/>
          <w:kern w:val="2"/>
          <w:sz w:val="24"/>
          <w:szCs w:val="24"/>
          <w:highlight w:val="none"/>
          <w:lang w:val="en-US" w:eastAsia="zh-CN" w:bidi="ar-SA"/>
        </w:rPr>
        <w:t>宣传教育</w:t>
      </w:r>
      <w:r>
        <w:rPr>
          <w:rFonts w:hint="eastAsia" w:ascii="黑体" w:hAnsi="黑体" w:eastAsia="黑体" w:cs="黑体"/>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2.为基层工会换届提供法律指导。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3</w:t>
      </w:r>
      <w:r>
        <w:rPr>
          <w:rFonts w:hint="default" w:ascii="黑体" w:hAnsi="黑体" w:eastAsia="黑体" w:cs="黑体"/>
          <w:color w:val="auto"/>
          <w:kern w:val="2"/>
          <w:sz w:val="24"/>
          <w:szCs w:val="24"/>
          <w:highlight w:val="none"/>
          <w:lang w:val="en-US" w:eastAsia="zh-CN" w:bidi="ar-SA"/>
        </w:rPr>
        <w:t>.</w:t>
      </w:r>
      <w:r>
        <w:rPr>
          <w:rFonts w:hint="eastAsia" w:ascii="黑体" w:hAnsi="黑体" w:eastAsia="黑体" w:cs="黑体"/>
          <w:color w:val="auto"/>
          <w:kern w:val="2"/>
          <w:sz w:val="24"/>
          <w:szCs w:val="24"/>
          <w:highlight w:val="none"/>
          <w:lang w:val="en-US" w:eastAsia="zh-CN" w:bidi="ar-SA"/>
        </w:rPr>
        <w:t>协助处理区总工会在工作过程中遇到的各种争议和纠纷。在接到区总工会工作过程中遇到的各种突发性重大争议和纠纷问题后，第一时间响应，工作日2小时内，周末或节假日6小时赶赴区总工会或指定的事发地点，参与各类争议及纠纷的解决，提供各项法律意见及事件处理建议；事后对相关事件进行分析总结，根据区总工会具体要求提交法律分析意见及后续类似事件的处理应对方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4.协助建立企业争议投诉解决机制，帮助企业工会与行政方共同组建企业劳动争议调解委员会、劳动法律监督委员会。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5.协助工会预防、排查、处理劳动争议，解决争议纠纷，尽可能避免争议进入仲裁、诉讼环节。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6.根据区总工会工作需求，提供律师驻点服务。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7</w:t>
      </w:r>
      <w:r>
        <w:rPr>
          <w:rFonts w:hint="default" w:ascii="黑体" w:hAnsi="黑体" w:eastAsia="黑体" w:cs="黑体"/>
          <w:color w:val="auto"/>
          <w:kern w:val="2"/>
          <w:sz w:val="24"/>
          <w:szCs w:val="24"/>
          <w:highlight w:val="none"/>
          <w:lang w:val="en-US" w:eastAsia="zh-CN" w:bidi="ar-SA"/>
        </w:rPr>
        <w:t>.每年递交年度工作总结。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8.完成区群工部（总工会）交办的其他法律业务工作。</w:t>
      </w:r>
    </w:p>
    <w:p>
      <w:pPr>
        <w:shd w:val="clear"/>
        <w:spacing w:line="360" w:lineRule="auto"/>
        <w:ind w:firstLine="720" w:firstLineChars="300"/>
        <w:rPr>
          <w:rFonts w:hint="eastAsia" w:ascii="黑体" w:hAnsi="黑体" w:eastAsia="黑体" w:cs="黑体"/>
          <w:color w:val="auto"/>
          <w:kern w:val="2"/>
          <w:sz w:val="24"/>
          <w:szCs w:val="24"/>
          <w:highlight w:val="none"/>
          <w:u w:val="single"/>
          <w:lang w:val="en-US" w:eastAsia="zh-CN" w:bidi="ar-SA"/>
        </w:rPr>
      </w:pPr>
      <w:r>
        <w:rPr>
          <w:rFonts w:hint="eastAsia" w:ascii="黑体" w:hAnsi="黑体" w:eastAsia="黑体" w:cs="黑体"/>
          <w:color w:val="auto"/>
          <w:kern w:val="2"/>
          <w:sz w:val="24"/>
          <w:szCs w:val="24"/>
          <w:highlight w:val="none"/>
          <w:u w:val="single"/>
          <w:lang w:val="en-US" w:eastAsia="zh-CN" w:bidi="ar-SA"/>
        </w:rPr>
        <w:t>包件2：南通经济技术开发区总工会聘请法律顾问单位服务采购项目（规范性文件审查、集体协商等方向）的服务内容：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黑体" w:hAnsi="黑体" w:eastAsia="黑体" w:cs="黑体"/>
          <w:color w:val="auto"/>
          <w:kern w:val="2"/>
          <w:sz w:val="24"/>
          <w:szCs w:val="24"/>
          <w:highlight w:val="none"/>
          <w:lang w:val="en-US" w:eastAsia="zh-CN" w:bidi="ar-SA"/>
        </w:rPr>
      </w:pPr>
      <w:r>
        <w:rPr>
          <w:rFonts w:hint="default" w:ascii="黑体" w:hAnsi="黑体" w:eastAsia="黑体" w:cs="黑体"/>
          <w:color w:val="auto"/>
          <w:kern w:val="2"/>
          <w:sz w:val="24"/>
          <w:szCs w:val="24"/>
          <w:highlight w:val="none"/>
          <w:lang w:val="en-US" w:eastAsia="zh-CN" w:bidi="ar-SA"/>
        </w:rPr>
        <w:t>1.对</w:t>
      </w:r>
      <w:r>
        <w:rPr>
          <w:rFonts w:hint="eastAsia" w:ascii="黑体" w:hAnsi="黑体" w:eastAsia="黑体" w:cs="黑体"/>
          <w:color w:val="auto"/>
          <w:kern w:val="2"/>
          <w:sz w:val="24"/>
          <w:szCs w:val="24"/>
          <w:highlight w:val="none"/>
          <w:lang w:val="en-US" w:eastAsia="zh-CN" w:bidi="ar-SA"/>
        </w:rPr>
        <w:t>区</w:t>
      </w:r>
      <w:r>
        <w:rPr>
          <w:rFonts w:hint="default" w:ascii="黑体" w:hAnsi="黑体" w:eastAsia="黑体" w:cs="黑体"/>
          <w:color w:val="auto"/>
          <w:kern w:val="2"/>
          <w:sz w:val="24"/>
          <w:szCs w:val="24"/>
          <w:highlight w:val="none"/>
          <w:lang w:val="en-US" w:eastAsia="zh-CN" w:bidi="ar-SA"/>
        </w:rPr>
        <w:t>总工会</w:t>
      </w:r>
      <w:r>
        <w:rPr>
          <w:rFonts w:hint="eastAsia" w:ascii="黑体" w:hAnsi="黑体" w:eastAsia="黑体" w:cs="黑体"/>
          <w:color w:val="auto"/>
          <w:kern w:val="2"/>
          <w:sz w:val="24"/>
          <w:szCs w:val="24"/>
          <w:highlight w:val="none"/>
          <w:lang w:val="en-US" w:eastAsia="zh-CN" w:bidi="ar-SA"/>
        </w:rPr>
        <w:t>工作、业务活动以及对外民事活动</w:t>
      </w:r>
      <w:r>
        <w:rPr>
          <w:rFonts w:hint="default" w:ascii="黑体" w:hAnsi="黑体" w:eastAsia="黑体" w:cs="黑体"/>
          <w:color w:val="auto"/>
          <w:kern w:val="2"/>
          <w:sz w:val="24"/>
          <w:szCs w:val="24"/>
          <w:highlight w:val="none"/>
          <w:lang w:val="en-US" w:eastAsia="zh-CN" w:bidi="ar-SA"/>
        </w:rPr>
        <w:t>中涉及的法律问题</w:t>
      </w:r>
      <w:r>
        <w:rPr>
          <w:rFonts w:hint="eastAsia" w:ascii="黑体" w:hAnsi="黑体" w:eastAsia="黑体" w:cs="黑体"/>
          <w:color w:val="auto"/>
          <w:kern w:val="2"/>
          <w:sz w:val="24"/>
          <w:szCs w:val="24"/>
          <w:highlight w:val="none"/>
          <w:lang w:val="en-US" w:eastAsia="zh-CN" w:bidi="ar-SA"/>
        </w:rPr>
        <w:t>随时</w:t>
      </w:r>
      <w:r>
        <w:rPr>
          <w:rFonts w:hint="default" w:ascii="黑体" w:hAnsi="黑体" w:eastAsia="黑体" w:cs="黑体"/>
          <w:color w:val="auto"/>
          <w:kern w:val="2"/>
          <w:sz w:val="24"/>
          <w:szCs w:val="24"/>
          <w:highlight w:val="none"/>
          <w:lang w:val="en-US" w:eastAsia="zh-CN" w:bidi="ar-SA"/>
        </w:rPr>
        <w:t>提供法律咨询</w:t>
      </w:r>
      <w:r>
        <w:rPr>
          <w:rFonts w:hint="eastAsia" w:ascii="黑体" w:hAnsi="黑体" w:eastAsia="黑体" w:cs="黑体"/>
          <w:color w:val="auto"/>
          <w:kern w:val="2"/>
          <w:sz w:val="24"/>
          <w:szCs w:val="24"/>
          <w:highlight w:val="none"/>
          <w:lang w:val="en-US" w:eastAsia="zh-CN" w:bidi="ar-SA"/>
        </w:rPr>
        <w:t>，出具专业法律分析意见</w:t>
      </w:r>
      <w:r>
        <w:rPr>
          <w:rFonts w:hint="default" w:ascii="黑体" w:hAnsi="黑体" w:eastAsia="黑体" w:cs="黑体"/>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黑体" w:hAnsi="黑体" w:eastAsia="黑体" w:cs="黑体"/>
          <w:color w:val="auto"/>
          <w:kern w:val="2"/>
          <w:sz w:val="24"/>
          <w:szCs w:val="24"/>
          <w:highlight w:val="none"/>
          <w:lang w:val="en-US" w:eastAsia="zh-CN" w:bidi="ar-SA"/>
        </w:rPr>
      </w:pPr>
      <w:r>
        <w:rPr>
          <w:rFonts w:hint="default" w:ascii="黑体" w:hAnsi="黑体" w:eastAsia="黑体" w:cs="黑体"/>
          <w:color w:val="auto"/>
          <w:kern w:val="2"/>
          <w:sz w:val="24"/>
          <w:szCs w:val="24"/>
          <w:highlight w:val="none"/>
          <w:lang w:val="en-US" w:eastAsia="zh-CN" w:bidi="ar-SA"/>
        </w:rPr>
        <w:t>2.</w:t>
      </w:r>
      <w:r>
        <w:rPr>
          <w:rFonts w:hint="eastAsia" w:ascii="黑体" w:hAnsi="黑体" w:eastAsia="黑体" w:cs="黑体"/>
          <w:color w:val="auto"/>
          <w:kern w:val="2"/>
          <w:sz w:val="24"/>
          <w:szCs w:val="24"/>
          <w:highlight w:val="none"/>
          <w:lang w:val="en-US" w:eastAsia="zh-CN" w:bidi="ar-SA"/>
        </w:rPr>
        <w:t>为区总工会主导起草的相关规范性文件提供合规性和可行性分析，进行法律论证，提供法律意见。修改、审查各类合同、协议及其他法律文书，并出具书面修改意见。法律顾问对修改、审核的各类合同、协议及其他法律文书须审核签字负责，确保合同与法律文件内容的合法性、可行性、严密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黑体" w:hAnsi="黑体" w:eastAsia="黑体" w:cs="黑体"/>
          <w:color w:val="auto"/>
          <w:kern w:val="2"/>
          <w:sz w:val="24"/>
          <w:szCs w:val="24"/>
          <w:highlight w:val="none"/>
          <w:lang w:val="en-US" w:eastAsia="zh-CN" w:bidi="ar-SA"/>
        </w:rPr>
      </w:pPr>
      <w:r>
        <w:rPr>
          <w:rFonts w:hint="default" w:ascii="黑体" w:hAnsi="黑体" w:eastAsia="黑体" w:cs="黑体"/>
          <w:color w:val="auto"/>
          <w:kern w:val="2"/>
          <w:sz w:val="24"/>
          <w:szCs w:val="24"/>
          <w:highlight w:val="none"/>
          <w:lang w:val="en-US" w:eastAsia="zh-CN" w:bidi="ar-SA"/>
        </w:rPr>
        <w:t>3.</w:t>
      </w:r>
      <w:r>
        <w:rPr>
          <w:rFonts w:hint="eastAsia" w:ascii="黑体" w:hAnsi="黑体" w:eastAsia="黑体" w:cs="黑体"/>
          <w:color w:val="auto"/>
          <w:kern w:val="2"/>
          <w:sz w:val="24"/>
          <w:szCs w:val="24"/>
          <w:highlight w:val="none"/>
          <w:lang w:val="en-US" w:eastAsia="zh-CN" w:bidi="ar-SA"/>
        </w:rPr>
        <w:t>对区总工会所遇到的重大法律问题，出具法律意见书，为区总工会行政行为、民事行为之合法合规提供法律建议，对其法律风险进行评估，预测其法律后果，并对其具体实施提供法律和实务支持。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4.受托就有关事项代表区总工会进行非诉讼交涉，出具律师函或法律意见书，受托以区总工会法律顾问的身份进行授权声明，公开陈述区总工会立场或某种真相，维护区总工会合法权益。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5</w:t>
      </w:r>
      <w:r>
        <w:rPr>
          <w:rFonts w:hint="default" w:ascii="黑体" w:hAnsi="黑体" w:eastAsia="黑体" w:cs="黑体"/>
          <w:color w:val="auto"/>
          <w:kern w:val="2"/>
          <w:sz w:val="24"/>
          <w:szCs w:val="24"/>
          <w:highlight w:val="none"/>
          <w:lang w:val="en-US" w:eastAsia="zh-CN" w:bidi="ar-SA"/>
        </w:rPr>
        <w:t>.应邀列席</w:t>
      </w:r>
      <w:r>
        <w:rPr>
          <w:rFonts w:hint="eastAsia" w:ascii="黑体" w:hAnsi="黑体" w:eastAsia="黑体" w:cs="黑体"/>
          <w:color w:val="auto"/>
          <w:kern w:val="2"/>
          <w:sz w:val="24"/>
          <w:szCs w:val="24"/>
          <w:highlight w:val="none"/>
          <w:lang w:val="en-US" w:eastAsia="zh-CN" w:bidi="ar-SA"/>
        </w:rPr>
        <w:t>区</w:t>
      </w:r>
      <w:r>
        <w:rPr>
          <w:rFonts w:hint="default" w:ascii="黑体" w:hAnsi="黑体" w:eastAsia="黑体" w:cs="黑体"/>
          <w:color w:val="auto"/>
          <w:kern w:val="2"/>
          <w:sz w:val="24"/>
          <w:szCs w:val="24"/>
          <w:highlight w:val="none"/>
          <w:lang w:val="en-US" w:eastAsia="zh-CN" w:bidi="ar-SA"/>
        </w:rPr>
        <w:t>总工会重大决策、重大行政行为会议，并提供法律协助，提出法律建议或意见，根据有关</w:t>
      </w:r>
      <w:r>
        <w:rPr>
          <w:rFonts w:hint="eastAsia" w:ascii="黑体" w:hAnsi="黑体" w:eastAsia="黑体" w:cs="黑体"/>
          <w:color w:val="auto"/>
          <w:kern w:val="2"/>
          <w:sz w:val="24"/>
          <w:szCs w:val="24"/>
          <w:highlight w:val="none"/>
          <w:lang w:val="en-US" w:eastAsia="zh-CN" w:bidi="ar-SA"/>
        </w:rPr>
        <w:t>法律法规</w:t>
      </w:r>
      <w:r>
        <w:rPr>
          <w:rFonts w:hint="default" w:ascii="黑体" w:hAnsi="黑体" w:eastAsia="黑体" w:cs="黑体"/>
          <w:color w:val="auto"/>
          <w:kern w:val="2"/>
          <w:sz w:val="24"/>
          <w:szCs w:val="24"/>
          <w:highlight w:val="none"/>
          <w:lang w:val="en-US" w:eastAsia="zh-CN" w:bidi="ar-SA"/>
        </w:rPr>
        <w:t>，对</w:t>
      </w:r>
      <w:r>
        <w:rPr>
          <w:rFonts w:hint="eastAsia" w:ascii="黑体" w:hAnsi="黑体" w:eastAsia="黑体" w:cs="黑体"/>
          <w:color w:val="auto"/>
          <w:kern w:val="2"/>
          <w:sz w:val="24"/>
          <w:szCs w:val="24"/>
          <w:highlight w:val="none"/>
          <w:lang w:val="en-US" w:eastAsia="zh-CN" w:bidi="ar-SA"/>
        </w:rPr>
        <w:t>区</w:t>
      </w:r>
      <w:r>
        <w:rPr>
          <w:rFonts w:hint="default" w:ascii="黑体" w:hAnsi="黑体" w:eastAsia="黑体" w:cs="黑体"/>
          <w:color w:val="auto"/>
          <w:kern w:val="2"/>
          <w:sz w:val="24"/>
          <w:szCs w:val="24"/>
          <w:highlight w:val="none"/>
          <w:lang w:val="en-US" w:eastAsia="zh-CN" w:bidi="ar-SA"/>
        </w:rPr>
        <w:t>总工会重大决策、重要项目、资产管理提供相关法律依据和法律意见，参与重大项目谈判，参与重大事项及疑难问题参与研讨，以降低法律风险</w:t>
      </w:r>
      <w:r>
        <w:rPr>
          <w:rFonts w:hint="eastAsia" w:ascii="黑体" w:hAnsi="黑体" w:eastAsia="黑体" w:cs="黑体"/>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6</w:t>
      </w:r>
      <w:r>
        <w:rPr>
          <w:rFonts w:hint="default" w:ascii="黑体" w:hAnsi="黑体" w:eastAsia="黑体" w:cs="黑体"/>
          <w:color w:val="auto"/>
          <w:kern w:val="2"/>
          <w:sz w:val="24"/>
          <w:szCs w:val="24"/>
          <w:highlight w:val="none"/>
          <w:lang w:val="en-US" w:eastAsia="zh-CN" w:bidi="ar-SA"/>
        </w:rPr>
        <w:t>.</w:t>
      </w:r>
      <w:r>
        <w:rPr>
          <w:rFonts w:hint="eastAsia" w:ascii="黑体" w:hAnsi="黑体" w:eastAsia="黑体" w:cs="黑体"/>
          <w:color w:val="auto"/>
          <w:kern w:val="2"/>
          <w:sz w:val="24"/>
          <w:szCs w:val="24"/>
          <w:highlight w:val="none"/>
          <w:lang w:val="en-US" w:eastAsia="zh-CN" w:bidi="ar-SA"/>
        </w:rPr>
        <w:t>当发生涉及区总工会的法律诉讼或者仲裁活动时，接受区总工会委托和授权，作为区总工会的代理人参加诉讼、仲裁及相关法律诉讼程序。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7.协助区总工会推进区集体协商工作。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8.根据区总工会工作需求，提供律师驻点服务。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9</w:t>
      </w:r>
      <w:r>
        <w:rPr>
          <w:rFonts w:hint="default" w:ascii="黑体" w:hAnsi="黑体" w:eastAsia="黑体" w:cs="黑体"/>
          <w:color w:val="auto"/>
          <w:kern w:val="2"/>
          <w:sz w:val="24"/>
          <w:szCs w:val="24"/>
          <w:highlight w:val="none"/>
          <w:lang w:val="en-US" w:eastAsia="zh-CN" w:bidi="ar-SA"/>
        </w:rPr>
        <w:t>.每年递交年度工作总结。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10.完成区群工部（总工会）交办的其他法律业务工作。</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b/>
          <w:bCs/>
          <w:color w:val="auto"/>
          <w:highlight w:val="none"/>
          <w:u w:val="single"/>
          <w:lang w:val="en-US" w:eastAsia="zh-CN"/>
        </w:rPr>
      </w:pPr>
      <w:r>
        <w:rPr>
          <w:rFonts w:hint="eastAsia" w:ascii="黑体" w:hAnsi="黑体" w:eastAsia="黑体" w:cs="黑体"/>
          <w:b/>
          <w:bCs/>
          <w:color w:val="auto"/>
          <w:kern w:val="2"/>
          <w:sz w:val="24"/>
          <w:szCs w:val="24"/>
          <w:highlight w:val="none"/>
          <w:u w:val="none"/>
          <w:lang w:val="en-US" w:eastAsia="zh-CN" w:bidi="ar-SA"/>
        </w:rPr>
        <w:t>注明：</w:t>
      </w:r>
      <w:r>
        <w:rPr>
          <w:rFonts w:hint="eastAsia" w:ascii="黑体" w:hAnsi="黑体" w:eastAsia="黑体" w:cs="黑体"/>
          <w:b/>
          <w:bCs/>
          <w:color w:val="auto"/>
          <w:kern w:val="2"/>
          <w:sz w:val="24"/>
          <w:szCs w:val="24"/>
          <w:highlight w:val="none"/>
          <w:u w:val="single"/>
          <w:lang w:val="en-US" w:eastAsia="zh-CN" w:bidi="ar-SA"/>
        </w:rPr>
        <w:t>包件1和包件2的成交单位</w:t>
      </w:r>
      <w:r>
        <w:rPr>
          <w:rFonts w:hint="default" w:ascii="黑体" w:hAnsi="黑体" w:eastAsia="黑体" w:cs="黑体"/>
          <w:b/>
          <w:bCs/>
          <w:color w:val="auto"/>
          <w:kern w:val="2"/>
          <w:sz w:val="24"/>
          <w:szCs w:val="24"/>
          <w:highlight w:val="none"/>
          <w:u w:val="single"/>
          <w:lang w:val="en-US" w:eastAsia="zh-CN" w:bidi="ar-SA"/>
        </w:rPr>
        <w:t>提供上述法律服务，不再另行收费。诉讼、仲裁案件及除上述以外的非诉讼项目另行收费。</w:t>
      </w:r>
    </w:p>
    <w:p>
      <w:pPr>
        <w:shd w:val="clear"/>
        <w:snapToGrid w:val="0"/>
        <w:spacing w:line="360" w:lineRule="auto"/>
        <w:ind w:firstLine="482" w:firstLineChars="200"/>
        <w:jc w:val="left"/>
        <w:rPr>
          <w:rFonts w:hint="eastAsia" w:ascii="黑体" w:hAnsi="黑体" w:eastAsia="黑体" w:cs="黑体"/>
          <w:color w:val="auto"/>
          <w:sz w:val="24"/>
          <w:highlight w:val="none"/>
        </w:rPr>
      </w:pPr>
      <w:r>
        <w:rPr>
          <w:rFonts w:hint="eastAsia" w:ascii="黑体" w:hAnsi="黑体" w:eastAsia="黑体" w:cs="黑体"/>
          <w:b/>
          <w:bCs/>
          <w:color w:val="auto"/>
          <w:sz w:val="24"/>
          <w:highlight w:val="none"/>
        </w:rPr>
        <w:t>三、</w:t>
      </w:r>
      <w:r>
        <w:rPr>
          <w:rFonts w:hint="eastAsia" w:ascii="黑体" w:hAnsi="黑体" w:eastAsia="黑体" w:cs="黑体"/>
          <w:b/>
          <w:color w:val="auto"/>
          <w:sz w:val="24"/>
          <w:highlight w:val="none"/>
        </w:rPr>
        <w:t>服务期限：</w:t>
      </w:r>
      <w:r>
        <w:rPr>
          <w:rFonts w:hint="eastAsia" w:ascii="黑体" w:hAnsi="黑体" w:eastAsia="黑体" w:cs="黑体"/>
          <w:color w:val="auto"/>
          <w:sz w:val="24"/>
          <w:szCs w:val="24"/>
          <w:highlight w:val="none"/>
          <w:lang w:eastAsia="zh-CN"/>
        </w:rPr>
        <w:t>自合同签订之日起叁年</w:t>
      </w:r>
      <w:r>
        <w:rPr>
          <w:rFonts w:hint="eastAsia" w:ascii="黑体" w:hAnsi="黑体" w:eastAsia="黑体" w:cs="黑体"/>
          <w:color w:val="auto"/>
          <w:sz w:val="24"/>
          <w:highlight w:val="none"/>
        </w:rPr>
        <w:t>。</w:t>
      </w:r>
    </w:p>
    <w:p>
      <w:pPr>
        <w:pStyle w:val="2"/>
        <w:shd w:val="clear"/>
        <w:ind w:left="0" w:leftChars="0" w:firstLine="482" w:firstLineChars="200"/>
        <w:rPr>
          <w:rFonts w:hint="eastAsia" w:ascii="黑体" w:hAnsi="黑体" w:eastAsia="黑体" w:cs="黑体"/>
          <w:b/>
          <w:bCs/>
          <w:color w:val="auto"/>
          <w:sz w:val="24"/>
          <w:highlight w:val="none"/>
        </w:rPr>
      </w:pPr>
      <w:r>
        <w:rPr>
          <w:rFonts w:hint="eastAsia" w:ascii="黑体" w:hAnsi="黑体" w:eastAsia="黑体" w:cs="黑体"/>
          <w:b/>
          <w:bCs/>
          <w:color w:val="auto"/>
          <w:sz w:val="24"/>
          <w:highlight w:val="none"/>
        </w:rPr>
        <w:t>四、付款方式</w:t>
      </w:r>
    </w:p>
    <w:p>
      <w:pPr>
        <w:pStyle w:val="2"/>
        <w:shd w:val="clear"/>
        <w:ind w:left="0" w:leftChars="0" w:firstLine="480" w:firstLineChars="200"/>
        <w:rPr>
          <w:rFonts w:hint="eastAsia" w:ascii="黑体" w:hAnsi="黑体" w:eastAsia="黑体" w:cs="黑体"/>
          <w:b w:val="0"/>
          <w:bCs w:val="0"/>
          <w:color w:val="auto"/>
          <w:sz w:val="24"/>
          <w:szCs w:val="24"/>
          <w:highlight w:val="none"/>
          <w:u w:val="single"/>
        </w:rPr>
      </w:pPr>
      <w:r>
        <w:rPr>
          <w:rFonts w:hint="eastAsia" w:ascii="黑体" w:hAnsi="黑体" w:eastAsia="黑体" w:cs="黑体"/>
          <w:b w:val="0"/>
          <w:bCs w:val="0"/>
          <w:color w:val="auto"/>
          <w:sz w:val="24"/>
          <w:szCs w:val="24"/>
          <w:highlight w:val="none"/>
          <w:lang w:val="en-US" w:eastAsia="zh-CN"/>
        </w:rPr>
        <w:t>1、</w:t>
      </w:r>
      <w:r>
        <w:rPr>
          <w:rFonts w:hint="eastAsia" w:ascii="黑体" w:hAnsi="黑体" w:eastAsia="黑体" w:cs="黑体"/>
          <w:b w:val="0"/>
          <w:bCs w:val="0"/>
          <w:color w:val="auto"/>
          <w:sz w:val="24"/>
          <w:szCs w:val="24"/>
          <w:highlight w:val="none"/>
        </w:rPr>
        <w:t>法律服务费在完全履行该法律服务项目并经甲方确认后一月内根据</w:t>
      </w:r>
      <w:r>
        <w:rPr>
          <w:rFonts w:hint="eastAsia" w:ascii="黑体" w:hAnsi="黑体" w:eastAsia="黑体" w:cs="黑体"/>
          <w:b w:val="0"/>
          <w:bCs w:val="0"/>
          <w:color w:val="auto"/>
          <w:sz w:val="24"/>
          <w:szCs w:val="24"/>
          <w:highlight w:val="none"/>
          <w:lang w:eastAsia="zh-CN"/>
        </w:rPr>
        <w:t>成交方</w:t>
      </w:r>
      <w:r>
        <w:rPr>
          <w:rFonts w:hint="eastAsia" w:ascii="黑体" w:hAnsi="黑体" w:eastAsia="黑体" w:cs="黑体"/>
          <w:b w:val="0"/>
          <w:bCs w:val="0"/>
          <w:color w:val="auto"/>
          <w:sz w:val="24"/>
          <w:szCs w:val="24"/>
          <w:highlight w:val="none"/>
        </w:rPr>
        <w:t>开具的发票支付至该项费用的100%。</w:t>
      </w:r>
    </w:p>
    <w:p>
      <w:pPr>
        <w:shd w:val="clea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同时经采购人核实无任何质量问题的情况下退还履约保证金。</w:t>
      </w:r>
    </w:p>
    <w:p>
      <w:pPr>
        <w:shd w:val="clear"/>
        <w:adjustRightInd w:val="0"/>
        <w:snapToGrid w:val="0"/>
        <w:spacing w:line="360" w:lineRule="auto"/>
        <w:ind w:firstLine="482" w:firstLineChars="200"/>
        <w:rPr>
          <w:rFonts w:hint="eastAsia" w:ascii="黑体" w:hAnsi="黑体" w:eastAsia="黑体" w:cs="黑体"/>
          <w:b/>
          <w:bCs/>
          <w:color w:val="auto"/>
          <w:highlight w:val="none"/>
        </w:rPr>
      </w:pPr>
      <w:r>
        <w:rPr>
          <w:rFonts w:hint="eastAsia" w:ascii="黑体" w:hAnsi="黑体" w:eastAsia="黑体" w:cs="黑体"/>
          <w:b/>
          <w:bCs/>
          <w:color w:val="auto"/>
          <w:sz w:val="24"/>
          <w:szCs w:val="24"/>
          <w:highlight w:val="none"/>
        </w:rPr>
        <w:t>注明：签订合同时，供应商明确表示无需预付款或者主动要求降低预付款比例的，采购人不适用上述规定。</w:t>
      </w:r>
    </w:p>
    <w:p>
      <w:pPr>
        <w:numPr>
          <w:ilvl w:val="0"/>
          <w:numId w:val="2"/>
        </w:numPr>
        <w:shd w:val="clear"/>
        <w:autoSpaceDE w:val="0"/>
        <w:autoSpaceDN w:val="0"/>
        <w:snapToGrid w:val="0"/>
        <w:spacing w:line="360" w:lineRule="auto"/>
        <w:ind w:firstLine="480" w:firstLineChars="20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每次付款前，乙方须根据结算金额按国家有关财税规定开出合法发票交甲方办理付款手续。</w:t>
      </w:r>
    </w:p>
    <w:p>
      <w:pPr>
        <w:pStyle w:val="2"/>
        <w:numPr>
          <w:ilvl w:val="0"/>
          <w:numId w:val="3"/>
        </w:numPr>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投标报价</w:t>
      </w:r>
    </w:p>
    <w:p>
      <w:pPr>
        <w:spacing w:line="360" w:lineRule="auto"/>
        <w:ind w:firstLine="480" w:firstLineChars="200"/>
        <w:jc w:val="left"/>
        <w:rPr>
          <w:rFonts w:hint="eastAsia" w:ascii="黑体" w:hAnsi="黑体" w:eastAsia="黑体" w:cs="黑体"/>
          <w:b w:val="0"/>
          <w:bCs w:val="0"/>
          <w:color w:val="auto"/>
          <w:kern w:val="0"/>
          <w:sz w:val="24"/>
          <w:szCs w:val="24"/>
          <w:highlight w:val="none"/>
          <w:lang w:eastAsia="zh-CN"/>
        </w:rPr>
      </w:pPr>
      <w:r>
        <w:rPr>
          <w:rFonts w:hint="eastAsia" w:ascii="黑体" w:hAnsi="黑体" w:eastAsia="黑体" w:cs="黑体"/>
          <w:b w:val="0"/>
          <w:bCs w:val="0"/>
          <w:color w:val="auto"/>
          <w:kern w:val="0"/>
          <w:sz w:val="24"/>
          <w:szCs w:val="24"/>
          <w:highlight w:val="none"/>
        </w:rPr>
        <w:t>响应单位的报价（人民币）按总价报价，报价（以人民币计价）</w:t>
      </w:r>
      <w:r>
        <w:rPr>
          <w:rFonts w:hint="eastAsia" w:ascii="黑体" w:hAnsi="黑体" w:eastAsia="黑体" w:cs="黑体"/>
          <w:b w:val="0"/>
          <w:bCs w:val="0"/>
          <w:color w:val="auto"/>
          <w:kern w:val="0"/>
          <w:sz w:val="24"/>
          <w:szCs w:val="24"/>
          <w:highlight w:val="none"/>
          <w:lang w:eastAsia="zh-CN"/>
        </w:rPr>
        <w:t>应包括但不限于常年法律顾问服务费、律师值班费、市内交通费、通讯费、餐费 、管理费、人工费、税金、利润、招标代理费用等各项费用，即招标作业服务项目实施的所有费用以及包含响应招标文件采购要求的所有费用。</w:t>
      </w:r>
    </w:p>
    <w:p>
      <w:pPr>
        <w:pStyle w:val="2"/>
        <w:numPr>
          <w:ilvl w:val="0"/>
          <w:numId w:val="3"/>
        </w:numPr>
        <w:ind w:left="400" w:leftChars="200" w:firstLine="0" w:firstLineChars="0"/>
        <w:rPr>
          <w:rFonts w:hint="eastAsia" w:ascii="黑体" w:hAnsi="黑体" w:eastAsia="黑体" w:cs="黑体"/>
          <w:b/>
          <w:bCs/>
          <w:color w:val="auto"/>
          <w:kern w:val="0"/>
          <w:sz w:val="24"/>
          <w:szCs w:val="24"/>
          <w:highlight w:val="none"/>
          <w:lang w:val="en-US" w:eastAsia="zh-CN"/>
        </w:rPr>
      </w:pPr>
      <w:r>
        <w:rPr>
          <w:rFonts w:hint="eastAsia" w:ascii="黑体" w:hAnsi="黑体" w:eastAsia="黑体" w:cs="黑体"/>
          <w:b/>
          <w:bCs/>
          <w:color w:val="auto"/>
          <w:kern w:val="0"/>
          <w:sz w:val="24"/>
          <w:szCs w:val="24"/>
          <w:highlight w:val="none"/>
          <w:lang w:val="en-US" w:eastAsia="zh-CN"/>
        </w:rPr>
        <w:t>其他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lang w:val="en-US" w:eastAsia="zh-CN" w:bidi="hi-IN"/>
        </w:rPr>
      </w:pPr>
      <w:r>
        <w:rPr>
          <w:rFonts w:hint="eastAsia" w:ascii="黑体" w:hAnsi="黑体" w:eastAsia="黑体" w:cs="黑体"/>
          <w:color w:val="auto"/>
          <w:sz w:val="24"/>
          <w:highlight w:val="none"/>
          <w:lang w:val="en-US" w:eastAsia="zh-CN" w:bidi="hi-IN"/>
        </w:rPr>
        <w:t>1、</w:t>
      </w:r>
      <w:r>
        <w:rPr>
          <w:rFonts w:hint="default" w:ascii="黑体" w:hAnsi="黑体" w:eastAsia="黑体" w:cs="黑体"/>
          <w:color w:val="auto"/>
          <w:sz w:val="24"/>
          <w:highlight w:val="none"/>
          <w:lang w:val="en-US" w:eastAsia="zh-CN" w:bidi="hi-IN"/>
        </w:rPr>
        <w:t>各投标人应本着长期合作、专业服务的精神，以优惠的价格投标，并严格保证业务质量。一旦发现</w:t>
      </w:r>
      <w:r>
        <w:rPr>
          <w:rFonts w:hint="eastAsia" w:ascii="黑体" w:hAnsi="黑体" w:eastAsia="黑体" w:cs="黑体"/>
          <w:color w:val="auto"/>
          <w:sz w:val="24"/>
          <w:highlight w:val="none"/>
          <w:lang w:val="en-US" w:eastAsia="zh-CN" w:bidi="hi-IN"/>
        </w:rPr>
        <w:t>成交单位</w:t>
      </w:r>
      <w:r>
        <w:rPr>
          <w:rFonts w:hint="default" w:ascii="黑体" w:hAnsi="黑体" w:eastAsia="黑体" w:cs="黑体"/>
          <w:color w:val="auto"/>
          <w:sz w:val="24"/>
          <w:highlight w:val="none"/>
          <w:lang w:val="en-US" w:eastAsia="zh-CN" w:bidi="hi-IN"/>
        </w:rPr>
        <w:t>及指派往的顾问律师的情况和专业水平与投标材料所述不符，或</w:t>
      </w:r>
      <w:r>
        <w:rPr>
          <w:rFonts w:hint="eastAsia" w:ascii="黑体" w:hAnsi="黑体" w:eastAsia="黑体" w:cs="黑体"/>
          <w:color w:val="auto"/>
          <w:sz w:val="24"/>
          <w:highlight w:val="none"/>
          <w:lang w:val="en-US" w:eastAsia="zh-CN" w:bidi="hi-IN"/>
        </w:rPr>
        <w:t>成交单位</w:t>
      </w:r>
      <w:r>
        <w:rPr>
          <w:rFonts w:hint="default" w:ascii="黑体" w:hAnsi="黑体" w:eastAsia="黑体" w:cs="黑体"/>
          <w:color w:val="auto"/>
          <w:sz w:val="24"/>
          <w:highlight w:val="none"/>
          <w:lang w:val="en-US" w:eastAsia="zh-CN" w:bidi="hi-IN"/>
        </w:rPr>
        <w:t>及指派的顾问律师的实际从业能力无法达到</w:t>
      </w:r>
      <w:r>
        <w:rPr>
          <w:rFonts w:hint="eastAsia" w:ascii="黑体" w:hAnsi="黑体" w:eastAsia="黑体" w:cs="黑体"/>
          <w:color w:val="auto"/>
          <w:sz w:val="24"/>
          <w:highlight w:val="none"/>
          <w:lang w:val="en-US" w:eastAsia="zh-CN" w:bidi="hi-IN"/>
        </w:rPr>
        <w:t>采购人</w:t>
      </w:r>
      <w:r>
        <w:rPr>
          <w:rFonts w:hint="default" w:ascii="黑体" w:hAnsi="黑体" w:eastAsia="黑体" w:cs="黑体"/>
          <w:color w:val="auto"/>
          <w:sz w:val="24"/>
          <w:highlight w:val="none"/>
          <w:lang w:val="en-US" w:eastAsia="zh-CN" w:bidi="hi-IN"/>
        </w:rPr>
        <w:t>的要求，或因</w:t>
      </w:r>
      <w:r>
        <w:rPr>
          <w:rFonts w:hint="eastAsia" w:ascii="黑体" w:hAnsi="黑体" w:eastAsia="黑体" w:cs="黑体"/>
          <w:color w:val="auto"/>
          <w:sz w:val="24"/>
          <w:highlight w:val="none"/>
          <w:lang w:val="en-US" w:eastAsia="zh-CN" w:bidi="hi-IN"/>
        </w:rPr>
        <w:t>成交单位</w:t>
      </w:r>
      <w:r>
        <w:rPr>
          <w:rFonts w:hint="default" w:ascii="黑体" w:hAnsi="黑体" w:eastAsia="黑体" w:cs="黑体"/>
          <w:color w:val="auto"/>
          <w:sz w:val="24"/>
          <w:highlight w:val="none"/>
          <w:lang w:val="en-US" w:eastAsia="zh-CN" w:bidi="hi-IN"/>
        </w:rPr>
        <w:t>及指派的顾问律师的过错给</w:t>
      </w:r>
      <w:r>
        <w:rPr>
          <w:rFonts w:hint="eastAsia" w:ascii="黑体" w:hAnsi="黑体" w:eastAsia="黑体" w:cs="黑体"/>
          <w:color w:val="auto"/>
          <w:sz w:val="24"/>
          <w:highlight w:val="none"/>
          <w:lang w:val="en-US" w:eastAsia="zh-CN" w:bidi="hi-IN"/>
        </w:rPr>
        <w:t>采购人</w:t>
      </w:r>
      <w:r>
        <w:rPr>
          <w:rFonts w:hint="default" w:ascii="黑体" w:hAnsi="黑体" w:eastAsia="黑体" w:cs="黑体"/>
          <w:color w:val="auto"/>
          <w:sz w:val="24"/>
          <w:highlight w:val="none"/>
          <w:lang w:val="en-US" w:eastAsia="zh-CN" w:bidi="hi-IN"/>
        </w:rPr>
        <w:t>带来损失的，或不能按本招标文件的要求提供服务的，</w:t>
      </w:r>
      <w:r>
        <w:rPr>
          <w:rFonts w:hint="eastAsia" w:ascii="黑体" w:hAnsi="黑体" w:eastAsia="黑体" w:cs="黑体"/>
          <w:color w:val="auto"/>
          <w:sz w:val="24"/>
          <w:highlight w:val="none"/>
          <w:lang w:val="en-US" w:eastAsia="zh-CN" w:bidi="hi-IN"/>
        </w:rPr>
        <w:t>采购人</w:t>
      </w:r>
      <w:r>
        <w:rPr>
          <w:rFonts w:hint="default" w:ascii="黑体" w:hAnsi="黑体" w:eastAsia="黑体" w:cs="黑体"/>
          <w:color w:val="auto"/>
          <w:sz w:val="24"/>
          <w:highlight w:val="none"/>
          <w:lang w:val="en-US" w:eastAsia="zh-CN" w:bidi="hi-IN"/>
        </w:rPr>
        <w:t>保留中途解聘并要求赔偿的权利，且</w:t>
      </w:r>
      <w:r>
        <w:rPr>
          <w:rFonts w:hint="eastAsia" w:ascii="黑体" w:hAnsi="黑体" w:eastAsia="黑体" w:cs="黑体"/>
          <w:color w:val="auto"/>
          <w:sz w:val="24"/>
          <w:highlight w:val="none"/>
          <w:lang w:val="en-US" w:eastAsia="zh-CN" w:bidi="hi-IN"/>
        </w:rPr>
        <w:t>采购人</w:t>
      </w:r>
      <w:r>
        <w:rPr>
          <w:rFonts w:hint="default" w:ascii="黑体" w:hAnsi="黑体" w:eastAsia="黑体" w:cs="黑体"/>
          <w:color w:val="auto"/>
          <w:sz w:val="24"/>
          <w:highlight w:val="none"/>
          <w:lang w:val="en-US" w:eastAsia="zh-CN" w:bidi="hi-IN"/>
        </w:rPr>
        <w:t>将不承担任何费用</w:t>
      </w:r>
      <w:r>
        <w:rPr>
          <w:rFonts w:hint="eastAsia" w:ascii="黑体" w:hAnsi="黑体" w:eastAsia="黑体" w:cs="黑体"/>
          <w:color w:val="auto"/>
          <w:sz w:val="24"/>
          <w:highlight w:val="none"/>
          <w:lang w:val="en-US" w:eastAsia="zh-CN" w:bidi="hi-IN"/>
        </w:rPr>
        <w:t>。</w:t>
      </w:r>
    </w:p>
    <w:p>
      <w:pPr>
        <w:spacing w:line="48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2、成交方</w:t>
      </w:r>
      <w:r>
        <w:rPr>
          <w:rFonts w:hint="eastAsia" w:ascii="黑体" w:hAnsi="黑体" w:eastAsia="黑体" w:cs="黑体"/>
          <w:color w:val="auto"/>
          <w:sz w:val="24"/>
          <w:szCs w:val="24"/>
          <w:highlight w:val="none"/>
        </w:rPr>
        <w:t>应为其</w:t>
      </w:r>
      <w:r>
        <w:rPr>
          <w:rFonts w:hint="eastAsia" w:ascii="黑体" w:hAnsi="黑体" w:eastAsia="黑体" w:cs="黑体"/>
          <w:color w:val="auto"/>
          <w:sz w:val="24"/>
          <w:szCs w:val="24"/>
          <w:highlight w:val="none"/>
          <w:lang w:val="en-US" w:eastAsia="zh-CN"/>
        </w:rPr>
        <w:t>委派给</w:t>
      </w:r>
      <w:r>
        <w:rPr>
          <w:rFonts w:hint="eastAsia" w:ascii="黑体" w:hAnsi="黑体" w:eastAsia="黑体" w:cs="黑体"/>
          <w:color w:val="auto"/>
          <w:sz w:val="24"/>
          <w:szCs w:val="24"/>
          <w:highlight w:val="none"/>
        </w:rPr>
        <w:t>甲方服务的所有</w:t>
      </w:r>
      <w:r>
        <w:rPr>
          <w:rFonts w:hint="eastAsia" w:ascii="黑体" w:hAnsi="黑体" w:eastAsia="黑体" w:cs="黑体"/>
          <w:color w:val="auto"/>
          <w:sz w:val="24"/>
          <w:szCs w:val="24"/>
          <w:highlight w:val="none"/>
          <w:lang w:val="en-US" w:eastAsia="zh-CN"/>
        </w:rPr>
        <w:t>工作人员</w:t>
      </w:r>
      <w:r>
        <w:rPr>
          <w:rFonts w:hint="eastAsia" w:ascii="黑体" w:hAnsi="黑体" w:eastAsia="黑体" w:cs="黑体"/>
          <w:color w:val="auto"/>
          <w:sz w:val="24"/>
          <w:szCs w:val="24"/>
          <w:highlight w:val="none"/>
        </w:rPr>
        <w:t>购买工伤险，</w:t>
      </w:r>
      <w:r>
        <w:rPr>
          <w:rFonts w:hint="eastAsia" w:ascii="黑体" w:hAnsi="黑体" w:eastAsia="黑体" w:cs="黑体"/>
          <w:color w:val="auto"/>
          <w:sz w:val="24"/>
          <w:szCs w:val="24"/>
          <w:highlight w:val="none"/>
          <w:lang w:val="en-US" w:eastAsia="zh-CN"/>
        </w:rPr>
        <w:t>律师团队</w:t>
      </w:r>
      <w:r>
        <w:rPr>
          <w:rFonts w:hint="eastAsia" w:ascii="黑体" w:hAnsi="黑体" w:eastAsia="黑体" w:cs="黑体"/>
          <w:color w:val="auto"/>
          <w:sz w:val="24"/>
          <w:szCs w:val="24"/>
          <w:highlight w:val="none"/>
        </w:rPr>
        <w:t>在</w:t>
      </w:r>
      <w:r>
        <w:rPr>
          <w:rFonts w:hint="eastAsia" w:ascii="黑体" w:hAnsi="黑体" w:eastAsia="黑体" w:cs="黑体"/>
          <w:color w:val="auto"/>
          <w:sz w:val="24"/>
          <w:szCs w:val="24"/>
          <w:highlight w:val="none"/>
          <w:lang w:val="en-US" w:eastAsia="zh-CN"/>
        </w:rPr>
        <w:t>为采购方服务过程中</w:t>
      </w:r>
      <w:r>
        <w:rPr>
          <w:rFonts w:hint="eastAsia" w:ascii="黑体" w:hAnsi="黑体" w:eastAsia="黑体" w:cs="黑体"/>
          <w:color w:val="auto"/>
          <w:sz w:val="24"/>
          <w:szCs w:val="24"/>
          <w:highlight w:val="none"/>
        </w:rPr>
        <w:t>因意外事故造成的人身伤亡及其他</w:t>
      </w:r>
      <w:r>
        <w:rPr>
          <w:rFonts w:hint="eastAsia" w:ascii="黑体" w:hAnsi="黑体" w:eastAsia="黑体" w:cs="黑体"/>
          <w:color w:val="auto"/>
          <w:sz w:val="24"/>
          <w:szCs w:val="24"/>
          <w:highlight w:val="none"/>
          <w:lang w:eastAsia="zh-CN"/>
        </w:rPr>
        <w:t>任何</w:t>
      </w:r>
      <w:r>
        <w:rPr>
          <w:rFonts w:hint="eastAsia" w:ascii="黑体" w:hAnsi="黑体" w:eastAsia="黑体" w:cs="黑体"/>
          <w:color w:val="auto"/>
          <w:sz w:val="24"/>
          <w:szCs w:val="24"/>
          <w:highlight w:val="none"/>
        </w:rPr>
        <w:t>事故应由</w:t>
      </w:r>
      <w:r>
        <w:rPr>
          <w:rFonts w:hint="eastAsia" w:ascii="黑体" w:hAnsi="黑体" w:eastAsia="黑体" w:cs="黑体"/>
          <w:color w:val="auto"/>
          <w:sz w:val="24"/>
          <w:szCs w:val="24"/>
          <w:highlight w:val="none"/>
          <w:lang w:val="en-US" w:eastAsia="zh-CN"/>
        </w:rPr>
        <w:t>成交</w:t>
      </w:r>
      <w:r>
        <w:rPr>
          <w:rFonts w:hint="eastAsia" w:ascii="黑体" w:hAnsi="黑体" w:eastAsia="黑体" w:cs="黑体"/>
          <w:color w:val="auto"/>
          <w:sz w:val="24"/>
          <w:szCs w:val="24"/>
          <w:highlight w:val="none"/>
        </w:rPr>
        <w:t>方负责解决并承担费用，与</w:t>
      </w:r>
      <w:r>
        <w:rPr>
          <w:rFonts w:hint="eastAsia" w:ascii="黑体" w:hAnsi="黑体" w:eastAsia="黑体" w:cs="黑体"/>
          <w:color w:val="auto"/>
          <w:sz w:val="24"/>
          <w:szCs w:val="24"/>
          <w:highlight w:val="none"/>
          <w:lang w:val="en-US" w:eastAsia="zh-CN"/>
        </w:rPr>
        <w:t>采购</w:t>
      </w:r>
      <w:r>
        <w:rPr>
          <w:rFonts w:hint="eastAsia" w:ascii="黑体" w:hAnsi="黑体" w:eastAsia="黑体" w:cs="黑体"/>
          <w:color w:val="auto"/>
          <w:sz w:val="24"/>
          <w:szCs w:val="24"/>
          <w:highlight w:val="none"/>
        </w:rPr>
        <w:t>方无关。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黑体" w:hAnsi="黑体" w:eastAsia="黑体" w:cs="黑体"/>
          <w:color w:val="auto"/>
          <w:sz w:val="24"/>
          <w:highlight w:val="none"/>
          <w:lang w:val="en-US" w:eastAsia="zh-CN" w:bidi="hi-IN"/>
        </w:rPr>
      </w:pPr>
      <w:r>
        <w:rPr>
          <w:rFonts w:hint="eastAsia" w:ascii="黑体" w:hAnsi="黑体" w:eastAsia="黑体" w:cs="黑体"/>
          <w:color w:val="auto"/>
          <w:sz w:val="24"/>
          <w:highlight w:val="none"/>
          <w:lang w:val="en-US" w:eastAsia="zh-CN" w:bidi="hi-IN"/>
        </w:rPr>
        <w:t>3、采购人</w:t>
      </w:r>
      <w:r>
        <w:rPr>
          <w:rFonts w:hint="default" w:ascii="黑体" w:hAnsi="黑体" w:eastAsia="黑体" w:cs="黑体"/>
          <w:color w:val="auto"/>
          <w:sz w:val="24"/>
          <w:highlight w:val="none"/>
          <w:lang w:val="en-US" w:eastAsia="zh-CN" w:bidi="hi-IN"/>
        </w:rPr>
        <w:t>有权在招投标期间内的合适时间发布澄清及参考文件</w:t>
      </w:r>
      <w:r>
        <w:rPr>
          <w:rFonts w:hint="eastAsia" w:ascii="黑体" w:hAnsi="黑体" w:eastAsia="黑体" w:cs="黑体"/>
          <w:color w:val="auto"/>
          <w:sz w:val="24"/>
          <w:highlight w:val="none"/>
          <w:lang w:val="en-US" w:eastAsia="zh-CN" w:bidi="hi-IN"/>
        </w:rPr>
        <w:t>，</w:t>
      </w:r>
      <w:r>
        <w:rPr>
          <w:rFonts w:hint="default" w:ascii="黑体" w:hAnsi="黑体" w:eastAsia="黑体" w:cs="黑体"/>
          <w:color w:val="auto"/>
          <w:sz w:val="24"/>
          <w:highlight w:val="none"/>
          <w:lang w:val="en-US" w:eastAsia="zh-CN" w:bidi="hi-IN"/>
        </w:rPr>
        <w:t>本</w:t>
      </w:r>
      <w:r>
        <w:rPr>
          <w:rFonts w:hint="eastAsia" w:ascii="黑体" w:hAnsi="黑体" w:eastAsia="黑体" w:cs="黑体"/>
          <w:color w:val="auto"/>
          <w:sz w:val="24"/>
          <w:highlight w:val="none"/>
          <w:lang w:val="en-US" w:eastAsia="zh-CN" w:bidi="hi-IN"/>
        </w:rPr>
        <w:t>磋商公告及磋商文件</w:t>
      </w:r>
      <w:r>
        <w:rPr>
          <w:rFonts w:hint="default" w:ascii="黑体" w:hAnsi="黑体" w:eastAsia="黑体" w:cs="黑体"/>
          <w:color w:val="auto"/>
          <w:sz w:val="24"/>
          <w:highlight w:val="none"/>
          <w:lang w:val="en-US" w:eastAsia="zh-CN" w:bidi="hi-IN"/>
        </w:rPr>
        <w:t>解释权归南通</w:t>
      </w:r>
      <w:r>
        <w:rPr>
          <w:rFonts w:hint="eastAsia" w:ascii="黑体" w:hAnsi="黑体" w:eastAsia="黑体" w:cs="黑体"/>
          <w:color w:val="auto"/>
          <w:sz w:val="24"/>
          <w:highlight w:val="none"/>
          <w:lang w:val="en-US" w:eastAsia="zh-CN" w:bidi="hi-IN"/>
        </w:rPr>
        <w:t>经济技术开发区</w:t>
      </w:r>
      <w:r>
        <w:rPr>
          <w:rFonts w:hint="default" w:ascii="黑体" w:hAnsi="黑体" w:eastAsia="黑体" w:cs="黑体"/>
          <w:color w:val="auto"/>
          <w:sz w:val="24"/>
          <w:highlight w:val="none"/>
          <w:lang w:val="en-US" w:eastAsia="zh-CN" w:bidi="hi-IN"/>
        </w:rPr>
        <w:t>总工会所有</w:t>
      </w:r>
      <w:r>
        <w:rPr>
          <w:rFonts w:hint="eastAsia" w:ascii="黑体" w:hAnsi="黑体" w:eastAsia="黑体" w:cs="黑体"/>
          <w:color w:val="auto"/>
          <w:sz w:val="24"/>
          <w:highlight w:val="none"/>
          <w:lang w:val="en-US" w:eastAsia="zh-CN" w:bidi="hi-IN"/>
        </w:rPr>
        <w:t>。</w:t>
      </w:r>
    </w:p>
    <w:p>
      <w:pPr>
        <w:pStyle w:val="2"/>
        <w:numPr>
          <w:ilvl w:val="0"/>
          <w:numId w:val="0"/>
        </w:numPr>
        <w:rPr>
          <w:rFonts w:hint="eastAsia" w:ascii="黑体" w:hAnsi="黑体" w:eastAsia="黑体" w:cs="黑体"/>
          <w:color w:val="auto"/>
          <w:sz w:val="24"/>
          <w:highlight w:val="none"/>
          <w:lang w:val="en-US" w:eastAsia="zh-CN"/>
        </w:rPr>
      </w:pPr>
    </w:p>
    <w:p>
      <w:pPr>
        <w:pStyle w:val="2"/>
        <w:numPr>
          <w:ilvl w:val="0"/>
          <w:numId w:val="0"/>
        </w:numPr>
        <w:rPr>
          <w:rFonts w:hint="default" w:ascii="黑体" w:hAnsi="黑体" w:eastAsia="黑体" w:cs="黑体"/>
          <w:color w:val="auto"/>
          <w:sz w:val="24"/>
          <w:highlight w:val="none"/>
          <w:lang w:val="en-US" w:eastAsia="zh-CN"/>
        </w:rPr>
      </w:pPr>
    </w:p>
    <w:p>
      <w:pPr>
        <w:pStyle w:val="2"/>
        <w:shd w:val="clear"/>
        <w:ind w:left="0" w:leftChars="0"/>
        <w:rPr>
          <w:rFonts w:hint="eastAsia" w:ascii="黑体" w:hAnsi="黑体" w:eastAsia="黑体" w:cs="黑体"/>
          <w:color w:val="auto"/>
          <w:highlight w:val="none"/>
        </w:rPr>
      </w:pPr>
    </w:p>
    <w:p>
      <w:pPr>
        <w:shd w:val="clea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br w:type="page"/>
      </w:r>
    </w:p>
    <w:p>
      <w:pPr>
        <w:pStyle w:val="21"/>
        <w:keepNext/>
        <w:shd w:val="clear"/>
        <w:spacing w:line="360" w:lineRule="auto"/>
        <w:ind w:firstLine="2880" w:firstLineChars="800"/>
        <w:outlineLvl w:val="0"/>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第五章</w:t>
      </w:r>
      <w:r>
        <w:rPr>
          <w:rFonts w:hint="eastAsia" w:ascii="黑体" w:hAnsi="黑体" w:eastAsia="黑体" w:cs="黑体"/>
          <w:color w:val="auto"/>
          <w:sz w:val="36"/>
          <w:szCs w:val="36"/>
          <w:highlight w:val="none"/>
          <w:lang w:val="en-US" w:eastAsia="zh-CN"/>
        </w:rPr>
        <w:t xml:space="preserve">  </w:t>
      </w:r>
      <w:r>
        <w:rPr>
          <w:rFonts w:hint="eastAsia" w:ascii="黑体" w:hAnsi="黑体" w:eastAsia="黑体" w:cs="黑体"/>
          <w:color w:val="auto"/>
          <w:sz w:val="36"/>
          <w:szCs w:val="36"/>
          <w:highlight w:val="none"/>
        </w:rPr>
        <w:t>资格审查</w:t>
      </w:r>
    </w:p>
    <w:tbl>
      <w:tblPr>
        <w:tblStyle w:val="15"/>
        <w:tblW w:w="10172" w:type="dxa"/>
        <w:jc w:val="center"/>
        <w:tblLayout w:type="fixed"/>
        <w:tblCellMar>
          <w:top w:w="0" w:type="dxa"/>
          <w:left w:w="108" w:type="dxa"/>
          <w:bottom w:w="0" w:type="dxa"/>
          <w:right w:w="108" w:type="dxa"/>
        </w:tblCellMar>
      </w:tblPr>
      <w:tblGrid>
        <w:gridCol w:w="815"/>
        <w:gridCol w:w="1135"/>
        <w:gridCol w:w="2835"/>
        <w:gridCol w:w="5387"/>
      </w:tblGrid>
      <w:tr>
        <w:tblPrEx>
          <w:tblCellMar>
            <w:top w:w="0" w:type="dxa"/>
            <w:left w:w="108" w:type="dxa"/>
            <w:bottom w:w="0" w:type="dxa"/>
            <w:right w:w="108" w:type="dxa"/>
          </w:tblCellMar>
        </w:tblPrEx>
        <w:trPr>
          <w:trHeight w:val="463" w:hRule="atLeast"/>
          <w:jc w:val="center"/>
        </w:trPr>
        <w:tc>
          <w:tcPr>
            <w:tcW w:w="1950" w:type="dxa"/>
            <w:gridSpan w:val="2"/>
            <w:tcBorders>
              <w:top w:val="single" w:color="000000" w:sz="4" w:space="0"/>
              <w:left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b/>
                <w:bCs/>
                <w:color w:val="auto"/>
                <w:sz w:val="24"/>
                <w:szCs w:val="24"/>
                <w:highlight w:val="none"/>
              </w:rPr>
            </w:pPr>
            <w:bookmarkStart w:id="0" w:name="OLE_LINK9"/>
            <w:r>
              <w:rPr>
                <w:rFonts w:hint="eastAsia" w:ascii="黑体" w:hAnsi="黑体" w:eastAsia="黑体" w:cs="黑体"/>
                <w:b/>
                <w:bCs/>
                <w:color w:val="auto"/>
                <w:sz w:val="24"/>
                <w:szCs w:val="24"/>
                <w:highlight w:val="none"/>
              </w:rPr>
              <w:t>条款号</w:t>
            </w:r>
            <w:bookmarkEnd w:id="0"/>
          </w:p>
        </w:tc>
        <w:tc>
          <w:tcPr>
            <w:tcW w:w="2835" w:type="dxa"/>
            <w:tcBorders>
              <w:top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评审因素</w:t>
            </w:r>
          </w:p>
        </w:tc>
        <w:tc>
          <w:tcPr>
            <w:tcW w:w="5387" w:type="dxa"/>
            <w:tcBorders>
              <w:top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评审标准</w:t>
            </w:r>
          </w:p>
        </w:tc>
      </w:tr>
      <w:tr>
        <w:tblPrEx>
          <w:tblCellMar>
            <w:top w:w="0" w:type="dxa"/>
            <w:left w:w="108" w:type="dxa"/>
            <w:bottom w:w="0" w:type="dxa"/>
            <w:right w:w="108" w:type="dxa"/>
          </w:tblCellMar>
        </w:tblPrEx>
        <w:trPr>
          <w:trHeight w:val="804" w:hRule="atLeast"/>
          <w:jc w:val="center"/>
        </w:trPr>
        <w:tc>
          <w:tcPr>
            <w:tcW w:w="815" w:type="dxa"/>
            <w:vMerge w:val="restart"/>
            <w:tcBorders>
              <w:left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2.1.1</w:t>
            </w:r>
          </w:p>
        </w:tc>
        <w:tc>
          <w:tcPr>
            <w:tcW w:w="1135" w:type="dxa"/>
            <w:vMerge w:val="restart"/>
            <w:tcBorders>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形式评审标准</w:t>
            </w:r>
          </w:p>
        </w:tc>
        <w:tc>
          <w:tcPr>
            <w:tcW w:w="2835" w:type="dxa"/>
            <w:tcBorders>
              <w:top w:val="single" w:color="000000" w:sz="4" w:space="0"/>
              <w:bottom w:val="single" w:color="000000" w:sz="4" w:space="0"/>
              <w:right w:val="single" w:color="000000" w:sz="4" w:space="0"/>
            </w:tcBorders>
            <w:vAlign w:val="center"/>
          </w:tcPr>
          <w:p>
            <w:pPr>
              <w:pStyle w:val="21"/>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磋商供应商名称</w:t>
            </w:r>
          </w:p>
        </w:tc>
        <w:tc>
          <w:tcPr>
            <w:tcW w:w="5387" w:type="dxa"/>
            <w:tcBorders>
              <w:top w:val="single" w:color="000000" w:sz="4" w:space="0"/>
              <w:bottom w:val="single" w:color="000000" w:sz="4" w:space="0"/>
              <w:right w:val="single" w:color="000000" w:sz="4" w:space="0"/>
            </w:tcBorders>
            <w:vAlign w:val="center"/>
          </w:tcPr>
          <w:p>
            <w:pPr>
              <w:pStyle w:val="21"/>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磋商供应商名称与营业执照</w:t>
            </w:r>
            <w:r>
              <w:rPr>
                <w:rFonts w:hint="eastAsia" w:ascii="黑体" w:hAnsi="黑体" w:eastAsia="黑体" w:cs="黑体"/>
                <w:color w:val="auto"/>
                <w:sz w:val="24"/>
                <w:szCs w:val="24"/>
                <w:highlight w:val="none"/>
                <w:lang w:val="en-US" w:eastAsia="zh-CN"/>
              </w:rPr>
              <w:t>或资质证书</w:t>
            </w:r>
            <w:r>
              <w:rPr>
                <w:rFonts w:hint="eastAsia" w:ascii="黑体" w:hAnsi="黑体" w:eastAsia="黑体" w:cs="黑体"/>
                <w:color w:val="auto"/>
                <w:sz w:val="24"/>
                <w:szCs w:val="24"/>
                <w:highlight w:val="none"/>
              </w:rPr>
              <w:t>；不一致的，提供有效证明材料</w:t>
            </w:r>
          </w:p>
        </w:tc>
      </w:tr>
      <w:tr>
        <w:tblPrEx>
          <w:tblCellMar>
            <w:top w:w="0" w:type="dxa"/>
            <w:left w:w="108" w:type="dxa"/>
            <w:bottom w:w="0" w:type="dxa"/>
            <w:right w:w="108" w:type="dxa"/>
          </w:tblCellMar>
        </w:tblPrEx>
        <w:trPr>
          <w:trHeight w:val="1113" w:hRule="atLeast"/>
          <w:jc w:val="center"/>
        </w:trPr>
        <w:tc>
          <w:tcPr>
            <w:tcW w:w="815" w:type="dxa"/>
            <w:vMerge w:val="continue"/>
            <w:tcBorders>
              <w:left w:val="single" w:color="000000" w:sz="4" w:space="0"/>
              <w:bottom w:val="single" w:color="000000" w:sz="4" w:space="0"/>
              <w:right w:val="single" w:color="000000" w:sz="4" w:space="0"/>
            </w:tcBorders>
            <w:vAlign w:val="center"/>
          </w:tcPr>
          <w:p>
            <w:pPr>
              <w:pStyle w:val="21"/>
              <w:shd w:val="clear"/>
              <w:jc w:val="left"/>
              <w:rPr>
                <w:rFonts w:hint="eastAsia" w:ascii="黑体" w:hAnsi="黑体" w:eastAsia="黑体" w:cs="黑体"/>
                <w:color w:val="auto"/>
                <w:sz w:val="24"/>
                <w:szCs w:val="24"/>
                <w:highlight w:val="none"/>
              </w:rPr>
            </w:pPr>
          </w:p>
        </w:tc>
        <w:tc>
          <w:tcPr>
            <w:tcW w:w="1135" w:type="dxa"/>
            <w:vMerge w:val="continue"/>
            <w:tcBorders>
              <w:bottom w:val="single" w:color="000000" w:sz="4" w:space="0"/>
              <w:right w:val="single" w:color="000000" w:sz="4" w:space="0"/>
            </w:tcBorders>
            <w:vAlign w:val="center"/>
          </w:tcPr>
          <w:p>
            <w:pPr>
              <w:pStyle w:val="21"/>
              <w:shd w:val="clear"/>
              <w:jc w:val="left"/>
              <w:rPr>
                <w:rFonts w:hint="eastAsia" w:ascii="黑体" w:hAnsi="黑体" w:eastAsia="黑体" w:cs="黑体"/>
                <w:color w:val="auto"/>
                <w:sz w:val="24"/>
                <w:szCs w:val="24"/>
                <w:highlight w:val="none"/>
              </w:rPr>
            </w:pPr>
          </w:p>
        </w:tc>
        <w:tc>
          <w:tcPr>
            <w:tcW w:w="2835" w:type="dxa"/>
            <w:tcBorders>
              <w:top w:val="single" w:color="000000" w:sz="4" w:space="0"/>
              <w:bottom w:val="single" w:color="000000" w:sz="4" w:space="0"/>
              <w:right w:val="single" w:color="000000" w:sz="4" w:space="0"/>
            </w:tcBorders>
            <w:vAlign w:val="center"/>
          </w:tcPr>
          <w:p>
            <w:pPr>
              <w:pStyle w:val="21"/>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磋商文件签字盖章</w:t>
            </w:r>
          </w:p>
        </w:tc>
        <w:tc>
          <w:tcPr>
            <w:tcW w:w="5387" w:type="dxa"/>
            <w:tcBorders>
              <w:top w:val="single" w:color="000000" w:sz="4" w:space="0"/>
              <w:bottom w:val="single" w:color="000000" w:sz="4" w:space="0"/>
              <w:right w:val="single" w:color="000000" w:sz="4" w:space="0"/>
            </w:tcBorders>
            <w:vAlign w:val="center"/>
          </w:tcPr>
          <w:p>
            <w:pPr>
              <w:pStyle w:val="21"/>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加盖磋商供应商公章和企业法定代表人（或企业法定代表人委托代理人）印章（或签字）。委托代理人有合法、有效的委托书（原件）</w:t>
            </w:r>
          </w:p>
        </w:tc>
      </w:tr>
      <w:tr>
        <w:tblPrEx>
          <w:tblCellMar>
            <w:top w:w="0" w:type="dxa"/>
            <w:left w:w="108" w:type="dxa"/>
            <w:bottom w:w="0" w:type="dxa"/>
            <w:right w:w="108" w:type="dxa"/>
          </w:tblCellMar>
        </w:tblPrEx>
        <w:trPr>
          <w:trHeight w:val="566" w:hRule="atLeast"/>
          <w:jc w:val="center"/>
        </w:trPr>
        <w:tc>
          <w:tcPr>
            <w:tcW w:w="815" w:type="dxa"/>
            <w:vMerge w:val="continue"/>
            <w:tcBorders>
              <w:left w:val="single" w:color="000000" w:sz="4" w:space="0"/>
              <w:bottom w:val="single" w:color="000000" w:sz="4" w:space="0"/>
              <w:right w:val="single" w:color="000000" w:sz="4" w:space="0"/>
            </w:tcBorders>
            <w:vAlign w:val="center"/>
          </w:tcPr>
          <w:p>
            <w:pPr>
              <w:pStyle w:val="21"/>
              <w:shd w:val="clear"/>
              <w:jc w:val="left"/>
              <w:rPr>
                <w:rFonts w:hint="eastAsia" w:ascii="黑体" w:hAnsi="黑体" w:eastAsia="黑体" w:cs="黑体"/>
                <w:color w:val="auto"/>
                <w:sz w:val="24"/>
                <w:szCs w:val="24"/>
                <w:highlight w:val="none"/>
              </w:rPr>
            </w:pPr>
          </w:p>
        </w:tc>
        <w:tc>
          <w:tcPr>
            <w:tcW w:w="1135" w:type="dxa"/>
            <w:vMerge w:val="continue"/>
            <w:tcBorders>
              <w:bottom w:val="single" w:color="000000" w:sz="4" w:space="0"/>
              <w:right w:val="single" w:color="000000" w:sz="4" w:space="0"/>
            </w:tcBorders>
            <w:vAlign w:val="center"/>
          </w:tcPr>
          <w:p>
            <w:pPr>
              <w:pStyle w:val="21"/>
              <w:shd w:val="clear"/>
              <w:jc w:val="left"/>
              <w:rPr>
                <w:rFonts w:hint="eastAsia" w:ascii="黑体" w:hAnsi="黑体" w:eastAsia="黑体" w:cs="黑体"/>
                <w:color w:val="auto"/>
                <w:sz w:val="24"/>
                <w:szCs w:val="24"/>
                <w:highlight w:val="none"/>
              </w:rPr>
            </w:pPr>
          </w:p>
        </w:tc>
        <w:tc>
          <w:tcPr>
            <w:tcW w:w="2835" w:type="dxa"/>
            <w:tcBorders>
              <w:top w:val="single" w:color="000000" w:sz="4" w:space="0"/>
              <w:bottom w:val="single" w:color="000000" w:sz="4" w:space="0"/>
              <w:right w:val="single" w:color="000000" w:sz="4" w:space="0"/>
            </w:tcBorders>
            <w:vAlign w:val="center"/>
          </w:tcPr>
          <w:p>
            <w:pPr>
              <w:pStyle w:val="21"/>
              <w:shd w:val="clear"/>
              <w:snapToGrid w:val="0"/>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资格审查文件格式</w:t>
            </w:r>
          </w:p>
        </w:tc>
        <w:tc>
          <w:tcPr>
            <w:tcW w:w="5387" w:type="dxa"/>
            <w:tcBorders>
              <w:top w:val="single" w:color="000000" w:sz="4" w:space="0"/>
              <w:bottom w:val="single" w:color="000000" w:sz="4" w:space="0"/>
              <w:right w:val="single" w:color="000000" w:sz="4" w:space="0"/>
            </w:tcBorders>
            <w:vAlign w:val="center"/>
          </w:tcPr>
          <w:p>
            <w:pPr>
              <w:pStyle w:val="21"/>
              <w:shd w:val="clear"/>
              <w:snapToGrid w:val="0"/>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符合磋商文件要求并附有所有相应表格</w:t>
            </w:r>
          </w:p>
        </w:tc>
      </w:tr>
      <w:tr>
        <w:tblPrEx>
          <w:tblCellMar>
            <w:top w:w="0" w:type="dxa"/>
            <w:left w:w="108" w:type="dxa"/>
            <w:bottom w:w="0" w:type="dxa"/>
            <w:right w:w="108" w:type="dxa"/>
          </w:tblCellMar>
        </w:tblPrEx>
        <w:trPr>
          <w:trHeight w:val="595" w:hRule="atLeast"/>
          <w:jc w:val="center"/>
        </w:trPr>
        <w:tc>
          <w:tcPr>
            <w:tcW w:w="815" w:type="dxa"/>
            <w:vMerge w:val="restart"/>
            <w:tcBorders>
              <w:left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2.1.2</w:t>
            </w:r>
          </w:p>
        </w:tc>
        <w:tc>
          <w:tcPr>
            <w:tcW w:w="1135" w:type="dxa"/>
            <w:vMerge w:val="restart"/>
            <w:tcBorders>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资格评审标准</w:t>
            </w:r>
          </w:p>
        </w:tc>
        <w:tc>
          <w:tcPr>
            <w:tcW w:w="2835" w:type="dxa"/>
            <w:tcBorders>
              <w:top w:val="single" w:color="000000" w:sz="4" w:space="0"/>
              <w:bottom w:val="single" w:color="000000" w:sz="4" w:space="0"/>
              <w:right w:val="single" w:color="000000" w:sz="4" w:space="0"/>
            </w:tcBorders>
            <w:vAlign w:val="center"/>
          </w:tcPr>
          <w:p>
            <w:pPr>
              <w:pStyle w:val="21"/>
              <w:shd w:val="clea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法定代表人身份证明书、授权委托书</w:t>
            </w:r>
          </w:p>
        </w:tc>
        <w:tc>
          <w:tcPr>
            <w:tcW w:w="5387" w:type="dxa"/>
            <w:tcBorders>
              <w:top w:val="single" w:color="000000" w:sz="4" w:space="0"/>
              <w:bottom w:val="single" w:color="000000" w:sz="4" w:space="0"/>
              <w:right w:val="single" w:color="000000" w:sz="4" w:space="0"/>
            </w:tcBorders>
          </w:tcPr>
          <w:p>
            <w:pPr>
              <w:pStyle w:val="21"/>
              <w:shd w:val="clear" w:color="auto"/>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供应商法定代表人参加的，必须提供法定代表人身份证明及法定代表人本人身份证</w:t>
            </w:r>
            <w:r>
              <w:rPr>
                <w:rFonts w:hint="eastAsia" w:ascii="黑体" w:hAnsi="黑体" w:eastAsia="黑体" w:cs="黑体"/>
                <w:color w:val="auto"/>
                <w:kern w:val="0"/>
                <w:sz w:val="24"/>
                <w:szCs w:val="24"/>
                <w:highlight w:val="none"/>
                <w:lang w:eastAsia="zh-CN"/>
              </w:rPr>
              <w:t>原件扫描件</w:t>
            </w:r>
            <w:r>
              <w:rPr>
                <w:rFonts w:hint="eastAsia" w:ascii="黑体" w:hAnsi="黑体" w:eastAsia="黑体" w:cs="黑体"/>
                <w:color w:val="auto"/>
                <w:kern w:val="0"/>
                <w:sz w:val="24"/>
                <w:szCs w:val="24"/>
                <w:highlight w:val="none"/>
              </w:rPr>
              <w:t>（格式参见第七章）；非法定代表人参加的，必须提供法定代表人签字或盖章的授权委托书及法定代表人、被授权人的两人身份证的</w:t>
            </w:r>
            <w:r>
              <w:rPr>
                <w:rFonts w:hint="eastAsia" w:ascii="黑体" w:hAnsi="黑体" w:eastAsia="黑体" w:cs="黑体"/>
                <w:color w:val="auto"/>
                <w:kern w:val="0"/>
                <w:sz w:val="24"/>
                <w:szCs w:val="24"/>
                <w:highlight w:val="none"/>
                <w:lang w:eastAsia="zh-CN"/>
              </w:rPr>
              <w:t>原件扫描件</w:t>
            </w:r>
            <w:r>
              <w:rPr>
                <w:rFonts w:hint="eastAsia" w:ascii="黑体" w:hAnsi="黑体" w:eastAsia="黑体" w:cs="黑体"/>
                <w:color w:val="auto"/>
                <w:kern w:val="0"/>
                <w:sz w:val="24"/>
                <w:szCs w:val="24"/>
                <w:highlight w:val="none"/>
              </w:rPr>
              <w:t>（格式参见第七章）；</w:t>
            </w:r>
          </w:p>
        </w:tc>
      </w:tr>
      <w:tr>
        <w:tblPrEx>
          <w:tblCellMar>
            <w:top w:w="0" w:type="dxa"/>
            <w:left w:w="108" w:type="dxa"/>
            <w:bottom w:w="0" w:type="dxa"/>
            <w:right w:w="108" w:type="dxa"/>
          </w:tblCellMar>
        </w:tblPrEx>
        <w:trPr>
          <w:trHeight w:val="609" w:hRule="atLeast"/>
          <w:jc w:val="center"/>
        </w:trPr>
        <w:tc>
          <w:tcPr>
            <w:tcW w:w="815" w:type="dxa"/>
            <w:vMerge w:val="continue"/>
            <w:tcBorders>
              <w:left w:val="single" w:color="000000" w:sz="4" w:space="0"/>
              <w:bottom w:val="single" w:color="000000" w:sz="4" w:space="0"/>
              <w:right w:val="single" w:color="000000" w:sz="4" w:space="0"/>
            </w:tcBorders>
            <w:vAlign w:val="center"/>
          </w:tcPr>
          <w:p>
            <w:pPr>
              <w:pStyle w:val="21"/>
              <w:shd w:val="clear"/>
              <w:jc w:val="left"/>
              <w:rPr>
                <w:rFonts w:hint="eastAsia" w:ascii="黑体" w:hAnsi="黑体" w:eastAsia="黑体" w:cs="黑体"/>
                <w:color w:val="auto"/>
                <w:sz w:val="24"/>
                <w:szCs w:val="24"/>
                <w:highlight w:val="none"/>
              </w:rPr>
            </w:pPr>
          </w:p>
        </w:tc>
        <w:tc>
          <w:tcPr>
            <w:tcW w:w="1135" w:type="dxa"/>
            <w:vMerge w:val="continue"/>
            <w:tcBorders>
              <w:bottom w:val="single" w:color="000000" w:sz="4" w:space="0"/>
              <w:right w:val="single" w:color="000000" w:sz="4" w:space="0"/>
            </w:tcBorders>
            <w:vAlign w:val="center"/>
          </w:tcPr>
          <w:p>
            <w:pPr>
              <w:pStyle w:val="21"/>
              <w:shd w:val="clear"/>
              <w:jc w:val="left"/>
              <w:rPr>
                <w:rFonts w:hint="eastAsia" w:ascii="黑体" w:hAnsi="黑体" w:eastAsia="黑体" w:cs="黑体"/>
                <w:color w:val="auto"/>
                <w:sz w:val="24"/>
                <w:szCs w:val="24"/>
                <w:highlight w:val="none"/>
              </w:rPr>
            </w:pPr>
          </w:p>
        </w:tc>
        <w:tc>
          <w:tcPr>
            <w:tcW w:w="2835" w:type="dxa"/>
            <w:tcBorders>
              <w:top w:val="single" w:color="000000" w:sz="4" w:space="0"/>
              <w:bottom w:val="single" w:color="000000" w:sz="4" w:space="0"/>
              <w:right w:val="single" w:color="000000" w:sz="4" w:space="0"/>
            </w:tcBorders>
            <w:vAlign w:val="center"/>
          </w:tcPr>
          <w:p>
            <w:pPr>
              <w:pStyle w:val="21"/>
              <w:shd w:val="clea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营业执照</w:t>
            </w:r>
          </w:p>
        </w:tc>
        <w:tc>
          <w:tcPr>
            <w:tcW w:w="5387" w:type="dxa"/>
            <w:tcBorders>
              <w:top w:val="single" w:color="000000" w:sz="4" w:space="0"/>
              <w:bottom w:val="single" w:color="000000" w:sz="4" w:space="0"/>
              <w:right w:val="single" w:color="000000" w:sz="4" w:space="0"/>
            </w:tcBorders>
            <w:vAlign w:val="center"/>
          </w:tcPr>
          <w:p>
            <w:pPr>
              <w:pStyle w:val="21"/>
              <w:shd w:val="clear"/>
              <w:spacing w:line="360" w:lineRule="auto"/>
              <w:jc w:val="left"/>
              <w:rPr>
                <w:rFonts w:hint="eastAsia" w:ascii="黑体" w:hAnsi="黑体" w:eastAsia="黑体" w:cs="黑体"/>
                <w:color w:val="auto"/>
                <w:sz w:val="24"/>
                <w:szCs w:val="24"/>
                <w:highlight w:val="none"/>
              </w:rPr>
            </w:pPr>
            <w:r>
              <w:rPr>
                <w:rFonts w:hint="eastAsia" w:ascii="黑体" w:hAnsi="黑体" w:eastAsia="黑体" w:cs="黑体"/>
                <w:bCs/>
                <w:color w:val="auto"/>
                <w:sz w:val="24"/>
                <w:szCs w:val="24"/>
                <w:highlight w:val="none"/>
              </w:rPr>
              <w:t>法人或者其他组织的营业执照等证明文件，自然人的身份证明</w:t>
            </w:r>
          </w:p>
        </w:tc>
      </w:tr>
      <w:tr>
        <w:tblPrEx>
          <w:tblCellMar>
            <w:top w:w="0" w:type="dxa"/>
            <w:left w:w="108" w:type="dxa"/>
            <w:bottom w:w="0" w:type="dxa"/>
            <w:right w:w="108" w:type="dxa"/>
          </w:tblCellMar>
        </w:tblPrEx>
        <w:trPr>
          <w:trHeight w:val="438" w:hRule="atLeast"/>
          <w:jc w:val="center"/>
        </w:trPr>
        <w:tc>
          <w:tcPr>
            <w:tcW w:w="815" w:type="dxa"/>
            <w:vMerge w:val="continue"/>
            <w:tcBorders>
              <w:left w:val="single" w:color="000000" w:sz="4" w:space="0"/>
              <w:bottom w:val="single" w:color="000000" w:sz="4" w:space="0"/>
              <w:right w:val="single" w:color="000000" w:sz="4" w:space="0"/>
            </w:tcBorders>
            <w:vAlign w:val="center"/>
          </w:tcPr>
          <w:p>
            <w:pPr>
              <w:pStyle w:val="21"/>
              <w:shd w:val="clear"/>
              <w:jc w:val="left"/>
              <w:rPr>
                <w:rFonts w:hint="eastAsia" w:ascii="黑体" w:hAnsi="黑体" w:eastAsia="黑体" w:cs="黑体"/>
                <w:color w:val="auto"/>
                <w:sz w:val="24"/>
                <w:szCs w:val="24"/>
                <w:highlight w:val="none"/>
              </w:rPr>
            </w:pPr>
          </w:p>
        </w:tc>
        <w:tc>
          <w:tcPr>
            <w:tcW w:w="1135" w:type="dxa"/>
            <w:vMerge w:val="continue"/>
            <w:tcBorders>
              <w:bottom w:val="single" w:color="000000" w:sz="4" w:space="0"/>
              <w:right w:val="single" w:color="000000" w:sz="4" w:space="0"/>
            </w:tcBorders>
            <w:vAlign w:val="center"/>
          </w:tcPr>
          <w:p>
            <w:pPr>
              <w:pStyle w:val="21"/>
              <w:shd w:val="clear"/>
              <w:jc w:val="left"/>
              <w:rPr>
                <w:rFonts w:hint="eastAsia" w:ascii="黑体" w:hAnsi="黑体" w:eastAsia="黑体" w:cs="黑体"/>
                <w:color w:val="auto"/>
                <w:sz w:val="24"/>
                <w:szCs w:val="24"/>
                <w:highlight w:val="none"/>
              </w:rPr>
            </w:pPr>
          </w:p>
        </w:tc>
        <w:tc>
          <w:tcPr>
            <w:tcW w:w="2835" w:type="dxa"/>
            <w:tcBorders>
              <w:top w:val="single" w:color="000000" w:sz="4" w:space="0"/>
              <w:bottom w:val="single" w:color="000000" w:sz="4" w:space="0"/>
              <w:right w:val="single" w:color="000000" w:sz="4" w:space="0"/>
            </w:tcBorders>
            <w:vAlign w:val="center"/>
          </w:tcPr>
          <w:p>
            <w:pPr>
              <w:pStyle w:val="21"/>
              <w:shd w:val="clea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磋商供应商未列入失信被执行人或重大税收违法案件当事人名单或政府采购严重失信行为记录名单的证明材料</w:t>
            </w:r>
          </w:p>
        </w:tc>
        <w:tc>
          <w:tcPr>
            <w:tcW w:w="5387" w:type="dxa"/>
            <w:tcBorders>
              <w:top w:val="single" w:color="000000" w:sz="4" w:space="0"/>
              <w:bottom w:val="single" w:color="000000" w:sz="4" w:space="0"/>
              <w:right w:val="single" w:color="000000" w:sz="4" w:space="0"/>
            </w:tcBorders>
            <w:vAlign w:val="center"/>
          </w:tcPr>
          <w:p>
            <w:pPr>
              <w:shd w:val="clea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响应供应商未被“信用中国”网站（www.creditchina.gov.cn）、中国政府采购网（www.ccgp.gov.cn）、国家企业信用信息公示系统（www.gsxt.gov.cn）列入失信被执行人、重大税收违法案件当事人名单、政府采购严重违法失信行为记录名单、异常经营名录、严重违法失信企业名单；为确保政府采购守法供应商公平参加政府采购活动，采购代理机构将在开标开始后一个小时内，通过“信用中国”网站和中国政府采购网和国家企业信用信息公示系统对供应商信用信息进行查询查证，并将查询记录截屏打印保存在采购档案内。如核实未通过，经磋商小组确认后资格审查不予通过。</w:t>
            </w:r>
          </w:p>
        </w:tc>
      </w:tr>
      <w:tr>
        <w:tblPrEx>
          <w:tblCellMar>
            <w:top w:w="0" w:type="dxa"/>
            <w:left w:w="108" w:type="dxa"/>
            <w:bottom w:w="0" w:type="dxa"/>
            <w:right w:w="108" w:type="dxa"/>
          </w:tblCellMar>
        </w:tblPrEx>
        <w:trPr>
          <w:trHeight w:val="602" w:hRule="atLeast"/>
          <w:jc w:val="center"/>
        </w:trPr>
        <w:tc>
          <w:tcPr>
            <w:tcW w:w="815" w:type="dxa"/>
            <w:vMerge w:val="continue"/>
            <w:tcBorders>
              <w:left w:val="single" w:color="000000" w:sz="4" w:space="0"/>
              <w:bottom w:val="single" w:color="000000" w:sz="4" w:space="0"/>
              <w:right w:val="single" w:color="000000" w:sz="4" w:space="0"/>
            </w:tcBorders>
            <w:vAlign w:val="center"/>
          </w:tcPr>
          <w:p>
            <w:pPr>
              <w:pStyle w:val="21"/>
              <w:shd w:val="clear"/>
              <w:jc w:val="left"/>
              <w:rPr>
                <w:rFonts w:hint="eastAsia" w:ascii="黑体" w:hAnsi="黑体" w:eastAsia="黑体" w:cs="黑体"/>
                <w:color w:val="auto"/>
                <w:sz w:val="24"/>
                <w:szCs w:val="24"/>
                <w:highlight w:val="none"/>
              </w:rPr>
            </w:pPr>
          </w:p>
        </w:tc>
        <w:tc>
          <w:tcPr>
            <w:tcW w:w="1135" w:type="dxa"/>
            <w:vMerge w:val="continue"/>
            <w:tcBorders>
              <w:bottom w:val="single" w:color="000000" w:sz="4" w:space="0"/>
              <w:right w:val="single" w:color="000000" w:sz="4" w:space="0"/>
            </w:tcBorders>
            <w:vAlign w:val="center"/>
          </w:tcPr>
          <w:p>
            <w:pPr>
              <w:pStyle w:val="21"/>
              <w:shd w:val="clear"/>
              <w:jc w:val="left"/>
              <w:rPr>
                <w:rFonts w:hint="eastAsia" w:ascii="黑体" w:hAnsi="黑体" w:eastAsia="黑体" w:cs="黑体"/>
                <w:color w:val="auto"/>
                <w:sz w:val="24"/>
                <w:szCs w:val="24"/>
                <w:highlight w:val="none"/>
              </w:rPr>
            </w:pPr>
          </w:p>
        </w:tc>
        <w:tc>
          <w:tcPr>
            <w:tcW w:w="2835" w:type="dxa"/>
            <w:tcBorders>
              <w:top w:val="single" w:color="000000" w:sz="4" w:space="0"/>
              <w:bottom w:val="single" w:color="000000" w:sz="4" w:space="0"/>
              <w:right w:val="single" w:color="000000" w:sz="4" w:space="0"/>
            </w:tcBorders>
            <w:vAlign w:val="center"/>
          </w:tcPr>
          <w:p>
            <w:pPr>
              <w:pStyle w:val="21"/>
              <w:shd w:val="clea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声明函</w:t>
            </w:r>
          </w:p>
        </w:tc>
        <w:tc>
          <w:tcPr>
            <w:tcW w:w="5387" w:type="dxa"/>
            <w:tcBorders>
              <w:top w:val="single" w:color="000000" w:sz="4" w:space="0"/>
              <w:bottom w:val="single" w:color="000000" w:sz="4" w:space="0"/>
              <w:right w:val="single" w:color="000000" w:sz="4" w:space="0"/>
            </w:tcBorders>
            <w:vAlign w:val="center"/>
          </w:tcPr>
          <w:p>
            <w:pPr>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响应供应商符合《政府采购法》第二十二条规定条件的声明函（按后附格式）；</w:t>
            </w:r>
          </w:p>
        </w:tc>
      </w:tr>
      <w:tr>
        <w:tblPrEx>
          <w:tblCellMar>
            <w:top w:w="0" w:type="dxa"/>
            <w:left w:w="108" w:type="dxa"/>
            <w:bottom w:w="0" w:type="dxa"/>
            <w:right w:w="108" w:type="dxa"/>
          </w:tblCellMar>
        </w:tblPrEx>
        <w:trPr>
          <w:trHeight w:val="90" w:hRule="atLeast"/>
          <w:jc w:val="center"/>
        </w:trPr>
        <w:tc>
          <w:tcPr>
            <w:tcW w:w="815" w:type="dxa"/>
            <w:vMerge w:val="continue"/>
            <w:tcBorders>
              <w:left w:val="single" w:color="000000" w:sz="4" w:space="0"/>
              <w:bottom w:val="single" w:color="000000" w:sz="4" w:space="0"/>
              <w:right w:val="single" w:color="000000" w:sz="4" w:space="0"/>
            </w:tcBorders>
            <w:vAlign w:val="center"/>
          </w:tcPr>
          <w:p>
            <w:pPr>
              <w:pStyle w:val="21"/>
              <w:shd w:val="clear"/>
              <w:jc w:val="left"/>
              <w:rPr>
                <w:rFonts w:hint="eastAsia" w:ascii="黑体" w:hAnsi="黑体" w:eastAsia="黑体" w:cs="黑体"/>
                <w:color w:val="auto"/>
                <w:sz w:val="24"/>
                <w:szCs w:val="24"/>
                <w:highlight w:val="none"/>
              </w:rPr>
            </w:pPr>
          </w:p>
        </w:tc>
        <w:tc>
          <w:tcPr>
            <w:tcW w:w="1135" w:type="dxa"/>
            <w:vMerge w:val="continue"/>
            <w:tcBorders>
              <w:bottom w:val="single" w:color="000000" w:sz="4" w:space="0"/>
              <w:right w:val="single" w:color="000000" w:sz="4" w:space="0"/>
            </w:tcBorders>
            <w:vAlign w:val="center"/>
          </w:tcPr>
          <w:p>
            <w:pPr>
              <w:pStyle w:val="21"/>
              <w:shd w:val="clear"/>
              <w:jc w:val="left"/>
              <w:rPr>
                <w:rFonts w:hint="eastAsia" w:ascii="黑体" w:hAnsi="黑体" w:eastAsia="黑体" w:cs="黑体"/>
                <w:color w:val="auto"/>
                <w:sz w:val="24"/>
                <w:szCs w:val="24"/>
                <w:highlight w:val="none"/>
              </w:rPr>
            </w:pPr>
          </w:p>
        </w:tc>
        <w:tc>
          <w:tcPr>
            <w:tcW w:w="2835" w:type="dxa"/>
            <w:tcBorders>
              <w:top w:val="single" w:color="000000" w:sz="4" w:space="0"/>
              <w:bottom w:val="single" w:color="000000" w:sz="4" w:space="0"/>
              <w:right w:val="single" w:color="000000" w:sz="4" w:space="0"/>
            </w:tcBorders>
            <w:vAlign w:val="center"/>
          </w:tcPr>
          <w:p>
            <w:pPr>
              <w:pStyle w:val="21"/>
              <w:shd w:val="clea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资质证书</w:t>
            </w:r>
          </w:p>
        </w:tc>
        <w:tc>
          <w:tcPr>
            <w:tcW w:w="5387" w:type="dxa"/>
            <w:tcBorders>
              <w:top w:val="single" w:color="000000" w:sz="4" w:space="0"/>
              <w:bottom w:val="single" w:color="000000" w:sz="4" w:space="0"/>
              <w:right w:val="single" w:color="000000" w:sz="4" w:space="0"/>
            </w:tcBorders>
          </w:tcPr>
          <w:p>
            <w:pPr>
              <w:pStyle w:val="21"/>
              <w:shd w:val="clear"/>
              <w:snapToGrid w:val="0"/>
              <w:spacing w:line="32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投标人必须经过国家司法行政主管部门合法登记注册且持有经年检合格的律师事务所执业许可证（提供合法登记注册文件及最近一年年检合格的执业许可证书原件扫描件并加盖投标人公章），且依法有效存续，总部或分支机构在南通，分所投标还须提供总所的授权书（加盖总所公章）；</w:t>
            </w:r>
          </w:p>
        </w:tc>
      </w:tr>
      <w:tr>
        <w:tblPrEx>
          <w:tblCellMar>
            <w:top w:w="0" w:type="dxa"/>
            <w:left w:w="108" w:type="dxa"/>
            <w:bottom w:w="0" w:type="dxa"/>
            <w:right w:w="108" w:type="dxa"/>
          </w:tblCellMar>
        </w:tblPrEx>
        <w:trPr>
          <w:trHeight w:val="602" w:hRule="atLeast"/>
          <w:jc w:val="center"/>
        </w:trPr>
        <w:tc>
          <w:tcPr>
            <w:tcW w:w="815" w:type="dxa"/>
            <w:vMerge w:val="restart"/>
            <w:tcBorders>
              <w:left w:val="single" w:color="000000" w:sz="4" w:space="0"/>
              <w:right w:val="single" w:color="000000" w:sz="4" w:space="0"/>
            </w:tcBorders>
            <w:vAlign w:val="center"/>
          </w:tcPr>
          <w:p>
            <w:pPr>
              <w:pStyle w:val="21"/>
              <w:shd w:val="clear"/>
              <w:jc w:val="left"/>
              <w:rPr>
                <w:rFonts w:hint="eastAsia" w:ascii="黑体" w:hAnsi="黑体" w:eastAsia="黑体" w:cs="黑体"/>
                <w:color w:val="auto"/>
                <w:sz w:val="24"/>
                <w:szCs w:val="24"/>
                <w:highlight w:val="none"/>
              </w:rPr>
            </w:pPr>
            <w:bookmarkStart w:id="1" w:name="_Hlk14941930"/>
          </w:p>
        </w:tc>
        <w:tc>
          <w:tcPr>
            <w:tcW w:w="1135" w:type="dxa"/>
            <w:vMerge w:val="restart"/>
            <w:tcBorders>
              <w:right w:val="single" w:color="000000" w:sz="4" w:space="0"/>
            </w:tcBorders>
            <w:vAlign w:val="center"/>
          </w:tcPr>
          <w:p>
            <w:pPr>
              <w:pStyle w:val="21"/>
              <w:shd w:val="clear"/>
              <w:jc w:val="left"/>
              <w:rPr>
                <w:rFonts w:hint="eastAsia" w:ascii="黑体" w:hAnsi="黑体" w:eastAsia="黑体" w:cs="黑体"/>
                <w:color w:val="auto"/>
                <w:sz w:val="24"/>
                <w:szCs w:val="24"/>
                <w:highlight w:val="none"/>
              </w:rPr>
            </w:pPr>
          </w:p>
        </w:tc>
        <w:tc>
          <w:tcPr>
            <w:tcW w:w="2835" w:type="dxa"/>
            <w:tcBorders>
              <w:top w:val="single" w:color="000000" w:sz="4" w:space="0"/>
              <w:bottom w:val="single" w:color="000000" w:sz="4" w:space="0"/>
              <w:right w:val="single" w:color="000000" w:sz="4" w:space="0"/>
            </w:tcBorders>
            <w:vAlign w:val="center"/>
          </w:tcPr>
          <w:p>
            <w:pPr>
              <w:pStyle w:val="21"/>
              <w:shd w:val="clear"/>
              <w:spacing w:line="360" w:lineRule="auto"/>
              <w:jc w:val="left"/>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相关承诺书</w:t>
            </w:r>
          </w:p>
        </w:tc>
        <w:tc>
          <w:tcPr>
            <w:tcW w:w="5387" w:type="dxa"/>
            <w:tcBorders>
              <w:top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投标人同时</w:t>
            </w:r>
            <w:r>
              <w:rPr>
                <w:rFonts w:hint="default" w:ascii="黑体" w:hAnsi="黑体" w:eastAsia="黑体" w:cs="黑体"/>
                <w:color w:val="auto"/>
                <w:kern w:val="2"/>
                <w:sz w:val="24"/>
                <w:szCs w:val="24"/>
                <w:highlight w:val="none"/>
                <w:lang w:val="en-US" w:eastAsia="zh-CN" w:bidi="ar-SA"/>
              </w:rPr>
              <w:t>具有一定规模的办公场所和完备的硬件设施，且执业律师人数不少于10人</w:t>
            </w:r>
            <w:r>
              <w:rPr>
                <w:rFonts w:hint="eastAsia" w:ascii="黑体" w:hAnsi="黑体" w:eastAsia="黑体" w:cs="黑体"/>
                <w:color w:val="auto"/>
                <w:kern w:val="2"/>
                <w:sz w:val="24"/>
                <w:szCs w:val="24"/>
                <w:highlight w:val="none"/>
                <w:lang w:val="en-US" w:eastAsia="zh-CN" w:bidi="ar-SA"/>
              </w:rPr>
              <w:t>（提供响应以上要求的承诺书，格式自拟）</w:t>
            </w:r>
            <w:r>
              <w:rPr>
                <w:rFonts w:hint="default" w:ascii="黑体" w:hAnsi="黑体" w:eastAsia="黑体" w:cs="黑体"/>
                <w:color w:val="auto"/>
                <w:kern w:val="2"/>
                <w:sz w:val="24"/>
                <w:szCs w:val="24"/>
                <w:highlight w:val="none"/>
                <w:lang w:val="en-US" w:eastAsia="zh-CN" w:bidi="ar-SA"/>
              </w:rPr>
              <w:t>；</w:t>
            </w:r>
          </w:p>
        </w:tc>
      </w:tr>
      <w:tr>
        <w:tblPrEx>
          <w:tblCellMar>
            <w:top w:w="0" w:type="dxa"/>
            <w:left w:w="108" w:type="dxa"/>
            <w:bottom w:w="0" w:type="dxa"/>
            <w:right w:w="108" w:type="dxa"/>
          </w:tblCellMar>
        </w:tblPrEx>
        <w:trPr>
          <w:trHeight w:val="602" w:hRule="atLeast"/>
          <w:jc w:val="center"/>
        </w:trPr>
        <w:tc>
          <w:tcPr>
            <w:tcW w:w="815" w:type="dxa"/>
            <w:vMerge w:val="continue"/>
            <w:tcBorders>
              <w:left w:val="single" w:color="000000" w:sz="4" w:space="0"/>
              <w:bottom w:val="single" w:color="000000" w:sz="4" w:space="0"/>
              <w:right w:val="single" w:color="000000" w:sz="4" w:space="0"/>
            </w:tcBorders>
            <w:vAlign w:val="center"/>
          </w:tcPr>
          <w:p>
            <w:pPr>
              <w:pStyle w:val="21"/>
              <w:shd w:val="clear"/>
              <w:jc w:val="left"/>
              <w:rPr>
                <w:rFonts w:hint="eastAsia" w:ascii="黑体" w:hAnsi="黑体" w:eastAsia="黑体" w:cs="黑体"/>
                <w:color w:val="auto"/>
                <w:sz w:val="24"/>
                <w:szCs w:val="24"/>
                <w:highlight w:val="none"/>
              </w:rPr>
            </w:pPr>
          </w:p>
        </w:tc>
        <w:tc>
          <w:tcPr>
            <w:tcW w:w="1135" w:type="dxa"/>
            <w:vMerge w:val="continue"/>
            <w:tcBorders>
              <w:bottom w:val="single" w:color="000000" w:sz="4" w:space="0"/>
              <w:right w:val="single" w:color="000000" w:sz="4" w:space="0"/>
            </w:tcBorders>
            <w:vAlign w:val="center"/>
          </w:tcPr>
          <w:p>
            <w:pPr>
              <w:pStyle w:val="21"/>
              <w:shd w:val="clear"/>
              <w:jc w:val="left"/>
              <w:rPr>
                <w:rFonts w:hint="eastAsia" w:ascii="黑体" w:hAnsi="黑体" w:eastAsia="黑体" w:cs="黑体"/>
                <w:color w:val="auto"/>
                <w:sz w:val="24"/>
                <w:szCs w:val="24"/>
                <w:highlight w:val="none"/>
              </w:rPr>
            </w:pPr>
          </w:p>
        </w:tc>
        <w:tc>
          <w:tcPr>
            <w:tcW w:w="2835" w:type="dxa"/>
            <w:tcBorders>
              <w:top w:val="single" w:color="000000" w:sz="4" w:space="0"/>
              <w:bottom w:val="single" w:color="000000" w:sz="4" w:space="0"/>
              <w:right w:val="single" w:color="000000" w:sz="4" w:space="0"/>
            </w:tcBorders>
            <w:vAlign w:val="center"/>
          </w:tcPr>
          <w:p>
            <w:pPr>
              <w:pStyle w:val="21"/>
              <w:shd w:val="clear"/>
              <w:spacing w:line="360" w:lineRule="auto"/>
              <w:jc w:val="left"/>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律师团队</w:t>
            </w:r>
          </w:p>
        </w:tc>
        <w:tc>
          <w:tcPr>
            <w:tcW w:w="5387" w:type="dxa"/>
            <w:tcBorders>
              <w:top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黑体" w:hAnsi="黑体" w:eastAsia="黑体" w:cs="黑体"/>
                <w:color w:val="auto"/>
                <w:kern w:val="2"/>
                <w:sz w:val="24"/>
                <w:szCs w:val="24"/>
                <w:highlight w:val="none"/>
                <w:lang w:val="en-US" w:eastAsia="zh-CN" w:bidi="ar-SA"/>
              </w:rPr>
            </w:pPr>
            <w:r>
              <w:rPr>
                <w:rFonts w:hint="default" w:ascii="黑体" w:hAnsi="黑体" w:eastAsia="黑体" w:cs="黑体"/>
                <w:color w:val="auto"/>
                <w:kern w:val="2"/>
                <w:sz w:val="24"/>
                <w:szCs w:val="24"/>
                <w:highlight w:val="none"/>
                <w:lang w:val="en-US" w:eastAsia="zh-CN" w:bidi="ar-SA"/>
              </w:rPr>
              <w:t>投标人</w:t>
            </w:r>
            <w:r>
              <w:rPr>
                <w:rFonts w:hint="eastAsia" w:ascii="黑体" w:hAnsi="黑体" w:eastAsia="黑体" w:cs="黑体"/>
                <w:color w:val="auto"/>
                <w:kern w:val="2"/>
                <w:sz w:val="24"/>
                <w:szCs w:val="24"/>
                <w:highlight w:val="none"/>
                <w:lang w:val="en-US" w:eastAsia="zh-CN" w:bidi="ar-SA"/>
              </w:rPr>
              <w:t>拟派</w:t>
            </w:r>
            <w:r>
              <w:rPr>
                <w:rFonts w:hint="default" w:ascii="黑体" w:hAnsi="黑体" w:eastAsia="黑体" w:cs="黑体"/>
                <w:color w:val="auto"/>
                <w:kern w:val="2"/>
                <w:sz w:val="24"/>
                <w:szCs w:val="24"/>
                <w:highlight w:val="none"/>
                <w:lang w:val="en-US" w:eastAsia="zh-CN" w:bidi="ar-SA"/>
              </w:rPr>
              <w:t>的常年法律顾问服务团队不少于2人，团队成员均为专职律师。其中法律顾问服务团队的主办律师执业年限为</w:t>
            </w:r>
            <w:r>
              <w:rPr>
                <w:rFonts w:hint="eastAsia" w:ascii="黑体" w:hAnsi="黑体" w:eastAsia="黑体" w:cs="黑体"/>
                <w:color w:val="auto"/>
                <w:kern w:val="2"/>
                <w:sz w:val="24"/>
                <w:szCs w:val="24"/>
                <w:highlight w:val="none"/>
                <w:lang w:val="en-US" w:eastAsia="zh-CN" w:bidi="ar-SA"/>
              </w:rPr>
              <w:t>5</w:t>
            </w:r>
            <w:r>
              <w:rPr>
                <w:rFonts w:hint="default" w:ascii="黑体" w:hAnsi="黑体" w:eastAsia="黑体" w:cs="黑体"/>
                <w:color w:val="auto"/>
                <w:kern w:val="2"/>
                <w:sz w:val="24"/>
                <w:szCs w:val="24"/>
                <w:highlight w:val="none"/>
                <w:lang w:val="en-US" w:eastAsia="zh-CN" w:bidi="ar-SA"/>
              </w:rPr>
              <w:t>年以上</w:t>
            </w:r>
            <w:r>
              <w:rPr>
                <w:rFonts w:hint="eastAsia" w:ascii="黑体" w:hAnsi="黑体" w:eastAsia="黑体" w:cs="黑体"/>
                <w:color w:val="auto"/>
                <w:kern w:val="2"/>
                <w:sz w:val="24"/>
                <w:szCs w:val="24"/>
                <w:highlight w:val="none"/>
                <w:lang w:val="en-US" w:eastAsia="zh-CN" w:bidi="ar-SA"/>
              </w:rPr>
              <w:t>；</w:t>
            </w:r>
            <w:r>
              <w:rPr>
                <w:rFonts w:hint="default" w:ascii="黑体" w:hAnsi="黑体" w:eastAsia="黑体" w:cs="黑体"/>
                <w:color w:val="auto"/>
                <w:kern w:val="2"/>
                <w:sz w:val="24"/>
                <w:szCs w:val="24"/>
                <w:highlight w:val="none"/>
                <w:lang w:val="en-US" w:eastAsia="zh-CN" w:bidi="ar-SA"/>
              </w:rPr>
              <w:t>主办律师应具有较为丰富的经验</w:t>
            </w:r>
            <w:r>
              <w:rPr>
                <w:rFonts w:hint="eastAsia" w:ascii="黑体" w:hAnsi="黑体" w:eastAsia="黑体" w:cs="黑体"/>
                <w:color w:val="auto"/>
                <w:kern w:val="2"/>
                <w:sz w:val="24"/>
                <w:szCs w:val="24"/>
                <w:highlight w:val="none"/>
                <w:lang w:val="en-US" w:eastAsia="zh-CN" w:bidi="ar-SA"/>
              </w:rPr>
              <w:t>，</w:t>
            </w:r>
            <w:r>
              <w:rPr>
                <w:rFonts w:hint="default" w:ascii="黑体" w:hAnsi="黑体" w:eastAsia="黑体" w:cs="黑体"/>
                <w:color w:val="auto"/>
                <w:kern w:val="2"/>
                <w:sz w:val="24"/>
                <w:szCs w:val="24"/>
                <w:highlight w:val="none"/>
                <w:lang w:val="en-US" w:eastAsia="zh-CN" w:bidi="ar-SA"/>
              </w:rPr>
              <w:t>同等条件下，有为工会、党委、政府或企业服务经验。</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以上提供所有拟派律师的律师证书、主办律师除提供律师证书外，还需提供简历以及参与类似本项目案件的业绩证明材料。</w:t>
            </w:r>
          </w:p>
        </w:tc>
      </w:tr>
      <w:tr>
        <w:tblPrEx>
          <w:tblCellMar>
            <w:top w:w="0" w:type="dxa"/>
            <w:left w:w="108" w:type="dxa"/>
            <w:bottom w:w="0" w:type="dxa"/>
            <w:right w:w="108" w:type="dxa"/>
          </w:tblCellMar>
        </w:tblPrEx>
        <w:trPr>
          <w:trHeight w:val="1082" w:hRule="atLeast"/>
          <w:jc w:val="center"/>
        </w:trPr>
        <w:tc>
          <w:tcPr>
            <w:tcW w:w="10172" w:type="dxa"/>
            <w:gridSpan w:val="4"/>
            <w:tcBorders>
              <w:top w:val="single" w:color="000000" w:sz="4" w:space="0"/>
              <w:left w:val="single" w:color="000000" w:sz="4" w:space="0"/>
              <w:bottom w:val="single" w:color="000000" w:sz="4" w:space="0"/>
              <w:right w:val="single" w:color="000000" w:sz="4" w:space="0"/>
            </w:tcBorders>
            <w:vAlign w:val="center"/>
          </w:tcPr>
          <w:p>
            <w:pPr>
              <w:pStyle w:val="21"/>
              <w:shd w:val="clear"/>
              <w:spacing w:line="28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上述条款号2.1.2资格评审标准的纸质递交资料需提供</w:t>
            </w:r>
            <w:r>
              <w:rPr>
                <w:rFonts w:hint="eastAsia" w:ascii="黑体" w:hAnsi="黑体" w:eastAsia="黑体" w:cs="黑体"/>
                <w:color w:val="auto"/>
                <w:sz w:val="24"/>
                <w:szCs w:val="24"/>
                <w:highlight w:val="none"/>
                <w:lang w:eastAsia="zh-CN"/>
              </w:rPr>
              <w:t>原件扫描件</w:t>
            </w:r>
            <w:r>
              <w:rPr>
                <w:rFonts w:hint="eastAsia" w:ascii="黑体" w:hAnsi="黑体" w:eastAsia="黑体" w:cs="黑体"/>
                <w:color w:val="auto"/>
                <w:sz w:val="24"/>
                <w:szCs w:val="24"/>
                <w:highlight w:val="none"/>
              </w:rPr>
              <w:t>并加盖单位公章；以上资格评审标准评审标等相关内容</w:t>
            </w:r>
            <w:r>
              <w:rPr>
                <w:rFonts w:hint="eastAsia" w:ascii="黑体" w:hAnsi="黑体" w:eastAsia="黑体" w:cs="黑体"/>
                <w:color w:val="auto"/>
                <w:sz w:val="24"/>
                <w:szCs w:val="24"/>
                <w:highlight w:val="none"/>
                <w:lang w:val="en-US" w:eastAsia="zh-CN"/>
              </w:rPr>
              <w:t>若提供的原件扫描件不清晰或</w:t>
            </w:r>
            <w:r>
              <w:rPr>
                <w:rFonts w:hint="eastAsia" w:ascii="黑体" w:hAnsi="黑体" w:eastAsia="黑体" w:cs="黑体"/>
                <w:color w:val="auto"/>
                <w:sz w:val="24"/>
                <w:szCs w:val="24"/>
                <w:highlight w:val="none"/>
              </w:rPr>
              <w:t>不齐全而引起的后果，由响应磋商的供应商自负。</w:t>
            </w:r>
            <w:bookmarkEnd w:id="1"/>
          </w:p>
          <w:p>
            <w:pPr>
              <w:pStyle w:val="21"/>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注：通过形式评审和资格审查的投标单位可进入以下评审</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资格审查不合格的投标单位不得进入本项目技术标和报价标的综合评审阶段</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w:t>
            </w:r>
          </w:p>
        </w:tc>
      </w:tr>
    </w:tbl>
    <w:p>
      <w:pPr>
        <w:pStyle w:val="20"/>
        <w:shd w:val="clear"/>
        <w:rPr>
          <w:rFonts w:hint="eastAsia" w:ascii="黑体" w:hAnsi="黑体" w:eastAsia="黑体" w:cs="黑体"/>
          <w:b/>
          <w:bCs/>
          <w:color w:val="auto"/>
          <w:highlight w:val="none"/>
        </w:rPr>
      </w:pPr>
      <w:r>
        <w:rPr>
          <w:rFonts w:hint="eastAsia" w:ascii="黑体" w:hAnsi="黑体" w:eastAsia="黑体" w:cs="黑体"/>
          <w:b/>
          <w:bCs/>
          <w:color w:val="auto"/>
          <w:highlight w:val="none"/>
        </w:rPr>
        <w:t xml:space="preserve"> </w:t>
      </w:r>
    </w:p>
    <w:p>
      <w:pPr>
        <w:pStyle w:val="20"/>
        <w:shd w:val="clear"/>
        <w:rPr>
          <w:rFonts w:hint="eastAsia" w:ascii="黑体" w:hAnsi="黑体" w:eastAsia="黑体" w:cs="黑体"/>
          <w:color w:val="auto"/>
          <w:highlight w:val="none"/>
        </w:rPr>
      </w:pPr>
      <w:r>
        <w:rPr>
          <w:rFonts w:hint="eastAsia" w:ascii="黑体" w:hAnsi="黑体" w:eastAsia="黑体" w:cs="黑体"/>
          <w:color w:val="auto"/>
          <w:highlight w:val="none"/>
        </w:rPr>
        <w:br w:type="page"/>
      </w:r>
    </w:p>
    <w:p>
      <w:pPr>
        <w:pStyle w:val="21"/>
        <w:shd w:val="clear"/>
        <w:spacing w:line="360" w:lineRule="auto"/>
        <w:jc w:val="cente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lang w:val="en-US" w:eastAsia="zh-CN"/>
        </w:rPr>
        <w:t xml:space="preserve">  </w:t>
      </w:r>
      <w:r>
        <w:rPr>
          <w:rFonts w:hint="eastAsia" w:ascii="黑体" w:hAnsi="黑体" w:eastAsia="黑体" w:cs="黑体"/>
          <w:b/>
          <w:bCs/>
          <w:color w:val="auto"/>
          <w:sz w:val="32"/>
          <w:szCs w:val="32"/>
          <w:highlight w:val="none"/>
        </w:rPr>
        <w:t>第六章</w:t>
      </w:r>
      <w:r>
        <w:rPr>
          <w:rFonts w:hint="eastAsia" w:ascii="黑体" w:hAnsi="黑体" w:eastAsia="黑体" w:cs="黑体"/>
          <w:b/>
          <w:bCs/>
          <w:color w:val="auto"/>
          <w:sz w:val="32"/>
          <w:szCs w:val="32"/>
          <w:highlight w:val="none"/>
          <w:lang w:val="en-US" w:eastAsia="zh-CN"/>
        </w:rPr>
        <w:t xml:space="preserve">  </w:t>
      </w:r>
      <w:r>
        <w:rPr>
          <w:rFonts w:hint="eastAsia" w:ascii="黑体" w:hAnsi="黑体" w:eastAsia="黑体" w:cs="黑体"/>
          <w:b/>
          <w:bCs/>
          <w:color w:val="auto"/>
          <w:sz w:val="32"/>
          <w:szCs w:val="32"/>
          <w:highlight w:val="none"/>
        </w:rPr>
        <w:t>磋商办法（综合评分法）</w:t>
      </w:r>
    </w:p>
    <w:p>
      <w:pPr>
        <w:pStyle w:val="21"/>
        <w:shd w:val="clear"/>
        <w:spacing w:line="360" w:lineRule="auto"/>
        <w:rPr>
          <w:rFonts w:hint="eastAsia" w:ascii="黑体" w:hAnsi="黑体" w:eastAsia="黑体" w:cs="黑体"/>
          <w:b/>
          <w:bCs/>
          <w:color w:val="auto"/>
          <w:sz w:val="23"/>
          <w:szCs w:val="23"/>
          <w:highlight w:val="none"/>
        </w:rPr>
      </w:pPr>
      <w:r>
        <w:rPr>
          <w:rFonts w:hint="eastAsia" w:ascii="黑体" w:hAnsi="黑体" w:eastAsia="黑体" w:cs="黑体"/>
          <w:b/>
          <w:bCs/>
          <w:color w:val="auto"/>
          <w:sz w:val="23"/>
          <w:szCs w:val="23"/>
          <w:highlight w:val="none"/>
        </w:rPr>
        <w:t>一、本项目开标顺序为：</w:t>
      </w:r>
    </w:p>
    <w:p>
      <w:pPr>
        <w:pStyle w:val="20"/>
        <w:pageBreakBefore w:val="0"/>
        <w:shd w:val="clear"/>
        <w:kinsoku/>
        <w:wordWrap/>
        <w:overflowPunct/>
        <w:topLinePunct w:val="0"/>
        <w:autoSpaceDE/>
        <w:autoSpaceDN/>
        <w:bidi w:val="0"/>
        <w:adjustRightInd/>
        <w:snapToGrid/>
        <w:spacing w:line="440" w:lineRule="exact"/>
        <w:ind w:firstLine="480" w:firstLineChars="200"/>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评标流程：</w:t>
      </w:r>
    </w:p>
    <w:p>
      <w:pPr>
        <w:pStyle w:val="20"/>
        <w:pageBreakBefore w:val="0"/>
        <w:shd w:val="clear"/>
        <w:kinsoku/>
        <w:wordWrap/>
        <w:overflowPunct/>
        <w:topLinePunct w:val="0"/>
        <w:autoSpaceDE/>
        <w:autoSpaceDN/>
        <w:bidi w:val="0"/>
        <w:adjustRightInd/>
        <w:snapToGrid/>
        <w:spacing w:line="440" w:lineRule="exact"/>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（1）先评审包件1和包件2的资格审查→包件1 商务技术标评审—包件1报价标评审－确定成交候选人</w:t>
      </w:r>
    </w:p>
    <w:p>
      <w:pPr>
        <w:pStyle w:val="20"/>
        <w:pageBreakBefore w:val="0"/>
        <w:numPr>
          <w:ilvl w:val="0"/>
          <w:numId w:val="0"/>
        </w:numPr>
        <w:shd w:val="clear"/>
        <w:kinsoku/>
        <w:wordWrap/>
        <w:overflowPunct/>
        <w:topLinePunct w:val="0"/>
        <w:autoSpaceDE/>
        <w:autoSpaceDN/>
        <w:bidi w:val="0"/>
        <w:adjustRightInd/>
        <w:snapToGrid/>
        <w:spacing w:line="440" w:lineRule="exact"/>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（2）再评审包件2 商务技术标评审—包件2报价标评审－确定成交候选人</w:t>
      </w:r>
    </w:p>
    <w:p>
      <w:pPr>
        <w:pageBreakBefore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黑体" w:hAnsi="黑体" w:eastAsia="黑体" w:cs="黑体"/>
          <w:b/>
          <w:bCs/>
          <w:color w:val="auto"/>
          <w:kern w:val="2"/>
          <w:sz w:val="24"/>
          <w:szCs w:val="24"/>
          <w:highlight w:val="none"/>
          <w:u w:val="single"/>
          <w:lang w:val="en-US" w:eastAsia="zh-CN" w:bidi="ar-SA"/>
        </w:rPr>
      </w:pPr>
      <w:r>
        <w:rPr>
          <w:rFonts w:hint="eastAsia" w:ascii="黑体" w:hAnsi="黑体" w:eastAsia="黑体" w:cs="黑体"/>
          <w:b/>
          <w:bCs/>
          <w:color w:val="auto"/>
          <w:kern w:val="2"/>
          <w:sz w:val="24"/>
          <w:szCs w:val="24"/>
          <w:highlight w:val="none"/>
          <w:u w:val="single"/>
          <w:lang w:val="en-US" w:eastAsia="zh-CN" w:bidi="ar-SA"/>
        </w:rPr>
        <w:t>注明：本项目共2个包件，投标单位每个包件均可以参加投标，但兼投不兼中；若包件1经评审后排名为第一成交候选人的，包件2若还继续参与评审，并再次被评审为第一成交候选人的，包件2的第二成交候选人将顺延为第一成交候选人。</w:t>
      </w:r>
    </w:p>
    <w:p>
      <w:pPr>
        <w:pStyle w:val="21"/>
        <w:pageBreakBefore w:val="0"/>
        <w:widowControl/>
        <w:shd w:val="clear"/>
        <w:kinsoku/>
        <w:wordWrap/>
        <w:overflowPunct/>
        <w:topLinePunct w:val="0"/>
        <w:autoSpaceDE/>
        <w:autoSpaceDN/>
        <w:bidi w:val="0"/>
        <w:adjustRightInd/>
        <w:snapToGrid/>
        <w:spacing w:line="440" w:lineRule="exact"/>
        <w:jc w:val="left"/>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二、本项目磋商小组成员共3人：</w:t>
      </w:r>
    </w:p>
    <w:p>
      <w:pPr>
        <w:pageBreakBefore w:val="0"/>
        <w:widowControl/>
        <w:shd w:val="clear"/>
        <w:kinsoku/>
        <w:wordWrap/>
        <w:overflowPunct/>
        <w:topLinePunct w:val="0"/>
        <w:autoSpaceDE/>
        <w:autoSpaceDN/>
        <w:bidi w:val="0"/>
        <w:adjustRightInd/>
        <w:snapToGrid/>
        <w:spacing w:line="440" w:lineRule="exact"/>
        <w:ind w:firstLine="480" w:firstLineChars="200"/>
        <w:jc w:val="left"/>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本项目磋商小组成员共3位，按照政府采购的规定抽取；</w:t>
      </w:r>
    </w:p>
    <w:p>
      <w:pPr>
        <w:pageBreakBefore w:val="0"/>
        <w:kinsoku/>
        <w:wordWrap/>
        <w:overflowPunct/>
        <w:topLinePunct w:val="0"/>
        <w:autoSpaceDE/>
        <w:autoSpaceDN/>
        <w:bidi w:val="0"/>
        <w:adjustRightInd/>
        <w:snapToGrid/>
        <w:spacing w:line="440" w:lineRule="exact"/>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三、本项目属于非招标方式，不存在唱标环节。按照政府采购法律制度规定，在磋商中任何一方不得透露与磋商有关的其他供应商的技术资料、价格和其他信息，因此不公开唱标。最终成交供应商名称和成交金额可通过南通经济技术开发区管委会网站发布成交结果公告获得。</w:t>
      </w:r>
    </w:p>
    <w:p>
      <w:pPr>
        <w:pageBreakBefore w:val="0"/>
        <w:kinsoku/>
        <w:wordWrap/>
        <w:overflowPunct/>
        <w:topLinePunct w:val="0"/>
        <w:autoSpaceDE/>
        <w:autoSpaceDN/>
        <w:bidi w:val="0"/>
        <w:adjustRightInd/>
        <w:snapToGrid/>
        <w:spacing w:line="440" w:lineRule="exact"/>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四、磋商委员会认为投标人的报价明显低于其他投标人的报价，有可能影响服务质量或者不能诚信履约的，应当要求其在评标现场在规定时限之内提供书面说明，必要时提交相关证明材料；投标人不能证明其投标合理性的，磋商委员会应当将其作为无效投标处理。</w:t>
      </w:r>
    </w:p>
    <w:p>
      <w:pPr>
        <w:pStyle w:val="22"/>
        <w:pageBreakBefore w:val="0"/>
        <w:shd w:val="clear"/>
        <w:kinsoku/>
        <w:wordWrap/>
        <w:overflowPunct/>
        <w:topLinePunct w:val="0"/>
        <w:autoSpaceDE/>
        <w:autoSpaceDN/>
        <w:bidi w:val="0"/>
        <w:adjustRightInd/>
        <w:snapToGrid/>
        <w:spacing w:line="440" w:lineRule="exact"/>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五、评标办法：本次评标采用综合评分法，具体评分办法如下：</w:t>
      </w:r>
    </w:p>
    <w:p>
      <w:pPr>
        <w:pStyle w:val="28"/>
        <w:pageBreakBefore w:val="0"/>
        <w:shd w:val="clear"/>
        <w:kinsoku/>
        <w:wordWrap/>
        <w:overflowPunct/>
        <w:topLinePunct w:val="0"/>
        <w:autoSpaceDE/>
        <w:autoSpaceDN/>
        <w:bidi w:val="0"/>
        <w:adjustRightInd/>
        <w:snapToGrid/>
        <w:spacing w:line="440" w:lineRule="exact"/>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磋商办法前附表</w:t>
      </w:r>
    </w:p>
    <w:tbl>
      <w:tblPr>
        <w:tblStyle w:val="15"/>
        <w:tblW w:w="9503" w:type="dxa"/>
        <w:jc w:val="center"/>
        <w:tblLayout w:type="fixed"/>
        <w:tblCellMar>
          <w:top w:w="0" w:type="dxa"/>
          <w:left w:w="108" w:type="dxa"/>
          <w:bottom w:w="0" w:type="dxa"/>
          <w:right w:w="108" w:type="dxa"/>
        </w:tblCellMar>
      </w:tblPr>
      <w:tblGrid>
        <w:gridCol w:w="1241"/>
        <w:gridCol w:w="1652"/>
        <w:gridCol w:w="1783"/>
        <w:gridCol w:w="4827"/>
      </w:tblGrid>
      <w:tr>
        <w:tblPrEx>
          <w:tblCellMar>
            <w:top w:w="0" w:type="dxa"/>
            <w:left w:w="108" w:type="dxa"/>
            <w:bottom w:w="0" w:type="dxa"/>
            <w:right w:w="108" w:type="dxa"/>
          </w:tblCellMar>
        </w:tblPrEx>
        <w:trPr>
          <w:trHeight w:val="622" w:hRule="atLeast"/>
          <w:jc w:val="center"/>
        </w:trPr>
        <w:tc>
          <w:tcPr>
            <w:tcW w:w="1241" w:type="dxa"/>
            <w:tcBorders>
              <w:top w:val="single" w:color="000000" w:sz="4" w:space="0"/>
              <w:left w:val="single" w:color="000000" w:sz="4" w:space="0"/>
              <w:bottom w:val="single" w:color="000000" w:sz="4" w:space="0"/>
              <w:right w:val="single" w:color="000000" w:sz="4" w:space="0"/>
            </w:tcBorders>
            <w:vAlign w:val="center"/>
          </w:tcPr>
          <w:p>
            <w:pPr>
              <w:pStyle w:val="21"/>
              <w:shd w:val="clear"/>
              <w:spacing w:line="360" w:lineRule="atLeas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2.2.1</w:t>
            </w:r>
          </w:p>
        </w:tc>
        <w:tc>
          <w:tcPr>
            <w:tcW w:w="3435" w:type="dxa"/>
            <w:gridSpan w:val="2"/>
            <w:tcBorders>
              <w:top w:val="single" w:color="000000" w:sz="4" w:space="0"/>
              <w:bottom w:val="single" w:color="000000" w:sz="4" w:space="0"/>
              <w:right w:val="single" w:color="000000" w:sz="4" w:space="0"/>
            </w:tcBorders>
            <w:vAlign w:val="center"/>
          </w:tcPr>
          <w:p>
            <w:pPr>
              <w:pStyle w:val="21"/>
              <w:shd w:val="clear"/>
              <w:spacing w:line="360" w:lineRule="atLeas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分值构成</w:t>
            </w:r>
          </w:p>
          <w:p>
            <w:pPr>
              <w:pStyle w:val="21"/>
              <w:shd w:val="clear"/>
              <w:spacing w:line="360" w:lineRule="atLeas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（100分）</w:t>
            </w:r>
          </w:p>
        </w:tc>
        <w:tc>
          <w:tcPr>
            <w:tcW w:w="4827" w:type="dxa"/>
            <w:tcBorders>
              <w:top w:val="single" w:color="000000" w:sz="4" w:space="0"/>
              <w:bottom w:val="single" w:color="000000" w:sz="4" w:space="0"/>
              <w:right w:val="single" w:color="000000" w:sz="4" w:space="0"/>
            </w:tcBorders>
            <w:vAlign w:val="center"/>
          </w:tcPr>
          <w:p>
            <w:pPr>
              <w:pStyle w:val="21"/>
              <w:shd w:val="clear"/>
              <w:spacing w:line="360" w:lineRule="atLeas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商务技术标80分，报价标20分</w:t>
            </w:r>
          </w:p>
        </w:tc>
      </w:tr>
      <w:tr>
        <w:tblPrEx>
          <w:tblCellMar>
            <w:top w:w="0" w:type="dxa"/>
            <w:left w:w="108" w:type="dxa"/>
            <w:bottom w:w="0" w:type="dxa"/>
            <w:right w:w="108" w:type="dxa"/>
          </w:tblCellMar>
        </w:tblPrEx>
        <w:trPr>
          <w:trHeight w:val="447" w:hRule="atLeast"/>
          <w:jc w:val="center"/>
        </w:trPr>
        <w:tc>
          <w:tcPr>
            <w:tcW w:w="9503" w:type="dxa"/>
            <w:gridSpan w:val="4"/>
            <w:tcBorders>
              <w:top w:val="single" w:color="000000" w:sz="4" w:space="0"/>
              <w:left w:val="single" w:color="000000" w:sz="4" w:space="0"/>
              <w:bottom w:val="single" w:color="000000" w:sz="4" w:space="0"/>
              <w:right w:val="single" w:color="000000" w:sz="4" w:space="0"/>
            </w:tcBorders>
          </w:tcPr>
          <w:p>
            <w:pPr>
              <w:pStyle w:val="21"/>
              <w:shd w:val="clear"/>
              <w:spacing w:line="360" w:lineRule="atLeas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技术分按算术平均值计算。分值小数点后保留两位。</w:t>
            </w:r>
          </w:p>
        </w:tc>
      </w:tr>
      <w:tr>
        <w:tblPrEx>
          <w:tblCellMar>
            <w:top w:w="0" w:type="dxa"/>
            <w:left w:w="108" w:type="dxa"/>
            <w:bottom w:w="0" w:type="dxa"/>
            <w:right w:w="108" w:type="dxa"/>
          </w:tblCellMar>
        </w:tblPrEx>
        <w:trPr>
          <w:trHeight w:val="622" w:hRule="atLeast"/>
          <w:jc w:val="center"/>
        </w:trPr>
        <w:tc>
          <w:tcPr>
            <w:tcW w:w="1241" w:type="dxa"/>
            <w:tcBorders>
              <w:top w:val="single" w:color="000000" w:sz="4" w:space="0"/>
              <w:left w:val="single" w:color="000000" w:sz="4" w:space="0"/>
              <w:bottom w:val="single" w:color="000000" w:sz="4" w:space="0"/>
              <w:right w:val="single" w:color="000000" w:sz="4" w:space="0"/>
            </w:tcBorders>
            <w:vAlign w:val="center"/>
          </w:tcPr>
          <w:p>
            <w:pPr>
              <w:pStyle w:val="21"/>
              <w:shd w:val="clear"/>
              <w:spacing w:line="360" w:lineRule="atLeas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条款号</w:t>
            </w:r>
          </w:p>
        </w:tc>
        <w:tc>
          <w:tcPr>
            <w:tcW w:w="1652" w:type="dxa"/>
            <w:tcBorders>
              <w:top w:val="single" w:color="000000" w:sz="4" w:space="0"/>
              <w:bottom w:val="single" w:color="000000" w:sz="4" w:space="0"/>
              <w:right w:val="single" w:color="000000" w:sz="4" w:space="0"/>
            </w:tcBorders>
            <w:vAlign w:val="center"/>
          </w:tcPr>
          <w:p>
            <w:pPr>
              <w:pStyle w:val="21"/>
              <w:shd w:val="clear"/>
              <w:spacing w:line="360" w:lineRule="atLeas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评分因素</w:t>
            </w:r>
          </w:p>
        </w:tc>
        <w:tc>
          <w:tcPr>
            <w:tcW w:w="6610" w:type="dxa"/>
            <w:gridSpan w:val="2"/>
            <w:tcBorders>
              <w:top w:val="single" w:color="000000" w:sz="4" w:space="0"/>
              <w:bottom w:val="single" w:color="000000" w:sz="4" w:space="0"/>
              <w:right w:val="single" w:color="000000" w:sz="4" w:space="0"/>
            </w:tcBorders>
            <w:vAlign w:val="center"/>
          </w:tcPr>
          <w:p>
            <w:pPr>
              <w:pStyle w:val="21"/>
              <w:shd w:val="clear"/>
              <w:spacing w:line="360" w:lineRule="atLeas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评分标准</w:t>
            </w:r>
          </w:p>
        </w:tc>
      </w:tr>
      <w:tr>
        <w:tblPrEx>
          <w:tblCellMar>
            <w:top w:w="0" w:type="dxa"/>
            <w:left w:w="108" w:type="dxa"/>
            <w:bottom w:w="0" w:type="dxa"/>
            <w:right w:w="108" w:type="dxa"/>
          </w:tblCellMar>
        </w:tblPrEx>
        <w:trPr>
          <w:trHeight w:val="311" w:hRule="atLeast"/>
          <w:jc w:val="center"/>
        </w:trPr>
        <w:tc>
          <w:tcPr>
            <w:tcW w:w="1241" w:type="dxa"/>
            <w:vMerge w:val="restart"/>
            <w:tcBorders>
              <w:left w:val="single" w:color="000000" w:sz="4" w:space="0"/>
              <w:bottom w:val="single" w:color="000000" w:sz="4" w:space="0"/>
              <w:right w:val="single" w:color="000000" w:sz="4" w:space="0"/>
            </w:tcBorders>
            <w:vAlign w:val="center"/>
          </w:tcPr>
          <w:p>
            <w:pPr>
              <w:pStyle w:val="21"/>
              <w:shd w:val="clear"/>
              <w:spacing w:line="360" w:lineRule="atLeast"/>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2.2.2商务技术标（80分）</w:t>
            </w:r>
          </w:p>
        </w:tc>
        <w:tc>
          <w:tcPr>
            <w:tcW w:w="1652" w:type="dxa"/>
            <w:tcBorders>
              <w:top w:val="single" w:color="000000" w:sz="4" w:space="0"/>
              <w:bottom w:val="single" w:color="000000" w:sz="4" w:space="0"/>
              <w:right w:val="single" w:color="000000" w:sz="4" w:space="0"/>
            </w:tcBorders>
            <w:vAlign w:val="center"/>
          </w:tcPr>
          <w:p>
            <w:pPr>
              <w:spacing w:line="276" w:lineRule="auto"/>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服务方案</w:t>
            </w:r>
          </w:p>
          <w:p>
            <w:pPr>
              <w:spacing w:line="276" w:lineRule="auto"/>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（20分）</w:t>
            </w:r>
          </w:p>
        </w:tc>
        <w:tc>
          <w:tcPr>
            <w:tcW w:w="6610" w:type="dxa"/>
            <w:gridSpan w:val="2"/>
            <w:tcBorders>
              <w:top w:val="single" w:color="000000" w:sz="4" w:space="0"/>
              <w:bottom w:val="single" w:color="000000" w:sz="4" w:space="0"/>
              <w:right w:val="single" w:color="000000" w:sz="4" w:space="0"/>
            </w:tcBorders>
            <w:vAlign w:val="top"/>
          </w:tcPr>
          <w:p>
            <w:pPr>
              <w:widowControl/>
              <w:spacing w:line="360" w:lineRule="atLeast"/>
              <w:jc w:val="lef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1、整体服务方案（须包含但不限于</w:t>
            </w:r>
            <w:r>
              <w:rPr>
                <w:rFonts w:hint="default" w:ascii="黑体" w:hAnsi="黑体" w:eastAsia="黑体" w:cs="黑体"/>
                <w:color w:val="auto"/>
                <w:kern w:val="2"/>
                <w:sz w:val="24"/>
                <w:szCs w:val="24"/>
                <w:highlight w:val="none"/>
                <w:lang w:val="en-US" w:eastAsia="zh-CN" w:bidi="ar-SA"/>
              </w:rPr>
              <w:t>工会法律服务需求</w:t>
            </w:r>
            <w:r>
              <w:rPr>
                <w:rFonts w:hint="eastAsia" w:ascii="黑体" w:hAnsi="黑体" w:eastAsia="黑体" w:cs="黑体"/>
                <w:color w:val="auto"/>
                <w:kern w:val="2"/>
                <w:sz w:val="24"/>
                <w:szCs w:val="24"/>
                <w:highlight w:val="none"/>
                <w:lang w:val="en-US" w:eastAsia="zh-CN" w:bidi="ar-SA"/>
              </w:rPr>
              <w:t>等）：整体服务方案实施说明与描述的完整性、针对性等内容打分，方案实施说明完整有针对性的：10分；方案实施说明与描述较完整的：5分；方案实施说明与描述有描述及说明，但是不完整的：1分。</w:t>
            </w:r>
          </w:p>
          <w:p>
            <w:pPr>
              <w:spacing w:line="276" w:lineRule="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2、应急服务措施：制定合理可行的、针对服务内容的应急服务措施，内容表述均完整有针对性的：10分；以上要求的内容表述较完整有针对性的：5分；以上要求的内容表述有，但是不完整：1分。</w:t>
            </w:r>
          </w:p>
        </w:tc>
      </w:tr>
      <w:tr>
        <w:tblPrEx>
          <w:tblCellMar>
            <w:top w:w="0" w:type="dxa"/>
            <w:left w:w="108" w:type="dxa"/>
            <w:bottom w:w="0" w:type="dxa"/>
            <w:right w:w="108" w:type="dxa"/>
          </w:tblCellMar>
        </w:tblPrEx>
        <w:trPr>
          <w:trHeight w:val="311" w:hRule="atLeast"/>
          <w:jc w:val="center"/>
        </w:trPr>
        <w:tc>
          <w:tcPr>
            <w:tcW w:w="1241" w:type="dxa"/>
            <w:vMerge w:val="continue"/>
            <w:tcBorders>
              <w:left w:val="single" w:color="000000" w:sz="4" w:space="0"/>
              <w:right w:val="single" w:color="000000" w:sz="4" w:space="0"/>
            </w:tcBorders>
            <w:vAlign w:val="center"/>
          </w:tcPr>
          <w:p>
            <w:pPr>
              <w:pStyle w:val="21"/>
              <w:shd w:val="clear"/>
              <w:spacing w:line="360" w:lineRule="atLeast"/>
              <w:jc w:val="left"/>
              <w:rPr>
                <w:rFonts w:hint="eastAsia" w:ascii="黑体" w:hAnsi="黑体" w:eastAsia="黑体" w:cs="黑体"/>
                <w:color w:val="auto"/>
                <w:sz w:val="24"/>
                <w:szCs w:val="24"/>
                <w:highlight w:val="none"/>
              </w:rPr>
            </w:pPr>
          </w:p>
        </w:tc>
        <w:tc>
          <w:tcPr>
            <w:tcW w:w="1652" w:type="dxa"/>
            <w:tcBorders>
              <w:top w:val="single" w:color="000000" w:sz="4" w:space="0"/>
              <w:bottom w:val="single" w:color="000000" w:sz="4" w:space="0"/>
              <w:right w:val="single" w:color="000000" w:sz="4" w:space="0"/>
            </w:tcBorders>
            <w:vAlign w:val="center"/>
          </w:tcPr>
          <w:p>
            <w:pPr>
              <w:shd w:val="clear"/>
              <w:adjustRightInd w:val="0"/>
              <w:snapToGrid w:val="0"/>
              <w:spacing w:line="400" w:lineRule="exact"/>
              <w:jc w:val="left"/>
              <w:rPr>
                <w:rFonts w:hint="default" w:ascii="黑体" w:hAnsi="黑体" w:eastAsia="黑体" w:cs="黑体"/>
                <w:color w:val="auto"/>
                <w:sz w:val="24"/>
                <w:szCs w:val="24"/>
                <w:highlight w:val="none"/>
              </w:rPr>
            </w:pPr>
            <w:r>
              <w:rPr>
                <w:rFonts w:hint="default" w:ascii="黑体" w:hAnsi="黑体" w:eastAsia="黑体" w:cs="黑体"/>
                <w:color w:val="auto"/>
                <w:sz w:val="24"/>
                <w:szCs w:val="24"/>
                <w:highlight w:val="none"/>
              </w:rPr>
              <w:t>顾问律师</w:t>
            </w:r>
          </w:p>
          <w:p>
            <w:pPr>
              <w:shd w:val="clear"/>
              <w:adjustRightInd w:val="0"/>
              <w:snapToGrid w:val="0"/>
              <w:spacing w:line="400" w:lineRule="exact"/>
              <w:jc w:val="left"/>
              <w:rPr>
                <w:rFonts w:hint="eastAsia" w:ascii="黑体" w:hAnsi="黑体" w:eastAsia="黑体" w:cs="黑体"/>
                <w:color w:val="auto"/>
                <w:sz w:val="24"/>
                <w:szCs w:val="24"/>
                <w:highlight w:val="none"/>
              </w:rPr>
            </w:pPr>
            <w:r>
              <w:rPr>
                <w:rFonts w:hint="default" w:ascii="黑体" w:hAnsi="黑体" w:eastAsia="黑体" w:cs="黑体"/>
                <w:color w:val="auto"/>
                <w:sz w:val="24"/>
                <w:szCs w:val="24"/>
                <w:highlight w:val="none"/>
              </w:rPr>
              <w:t>业绩情况</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40分</w:t>
            </w:r>
            <w:r>
              <w:rPr>
                <w:rFonts w:hint="eastAsia" w:ascii="黑体" w:hAnsi="黑体" w:eastAsia="黑体" w:cs="黑体"/>
                <w:color w:val="auto"/>
                <w:sz w:val="24"/>
                <w:szCs w:val="24"/>
                <w:highlight w:val="none"/>
              </w:rPr>
              <w:t>）</w:t>
            </w:r>
          </w:p>
        </w:tc>
        <w:tc>
          <w:tcPr>
            <w:tcW w:w="6610" w:type="dxa"/>
            <w:gridSpan w:val="2"/>
            <w:tcBorders>
              <w:top w:val="single" w:color="000000" w:sz="4" w:space="0"/>
              <w:bottom w:val="single" w:color="000000" w:sz="4" w:space="0"/>
              <w:right w:val="single" w:color="000000" w:sz="4" w:space="0"/>
            </w:tcBorders>
            <w:vAlign w:val="center"/>
          </w:tcPr>
          <w:p>
            <w:pPr>
              <w:numPr>
                <w:ilvl w:val="0"/>
                <w:numId w:val="4"/>
              </w:numPr>
              <w:shd w:val="clear"/>
              <w:adjustRightInd w:val="0"/>
              <w:snapToGrid w:val="0"/>
              <w:spacing w:line="400" w:lineRule="exact"/>
              <w:jc w:val="lef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参与过区级及以上工会开展的活动，</w:t>
            </w:r>
            <w:r>
              <w:rPr>
                <w:rFonts w:hint="default" w:ascii="黑体" w:hAnsi="黑体" w:eastAsia="黑体" w:cs="黑体"/>
                <w:color w:val="auto"/>
                <w:sz w:val="24"/>
                <w:szCs w:val="24"/>
                <w:highlight w:val="none"/>
              </w:rPr>
              <w:t>有</w:t>
            </w:r>
            <w:r>
              <w:rPr>
                <w:rFonts w:hint="eastAsia" w:ascii="黑体" w:hAnsi="黑体" w:eastAsia="黑体" w:cs="黑体"/>
                <w:color w:val="auto"/>
                <w:sz w:val="24"/>
                <w:szCs w:val="24"/>
                <w:highlight w:val="none"/>
                <w:lang w:eastAsia="zh-CN"/>
              </w:rPr>
              <w:t>一次</w:t>
            </w:r>
            <w:r>
              <w:rPr>
                <w:rFonts w:hint="default" w:ascii="黑体" w:hAnsi="黑体" w:eastAsia="黑体" w:cs="黑体"/>
                <w:color w:val="auto"/>
                <w:sz w:val="24"/>
                <w:szCs w:val="24"/>
                <w:highlight w:val="none"/>
              </w:rPr>
              <w:t>得10分，</w:t>
            </w:r>
            <w:r>
              <w:rPr>
                <w:rFonts w:hint="eastAsia" w:ascii="黑体" w:hAnsi="黑体" w:eastAsia="黑体" w:cs="黑体"/>
                <w:color w:val="auto"/>
                <w:sz w:val="24"/>
                <w:szCs w:val="24"/>
                <w:highlight w:val="none"/>
                <w:lang w:val="en-US" w:eastAsia="zh-CN"/>
              </w:rPr>
              <w:t>最多得20分</w:t>
            </w:r>
            <w:r>
              <w:rPr>
                <w:rFonts w:hint="default" w:ascii="黑体" w:hAnsi="黑体" w:eastAsia="黑体" w:cs="黑体"/>
                <w:color w:val="auto"/>
                <w:sz w:val="24"/>
                <w:szCs w:val="24"/>
                <w:highlight w:val="none"/>
              </w:rPr>
              <w:t>。需提供</w:t>
            </w:r>
            <w:r>
              <w:rPr>
                <w:rFonts w:hint="eastAsia" w:ascii="黑体" w:hAnsi="黑体" w:eastAsia="黑体" w:cs="黑体"/>
                <w:color w:val="auto"/>
                <w:sz w:val="24"/>
                <w:szCs w:val="24"/>
                <w:highlight w:val="none"/>
                <w:lang w:eastAsia="zh-CN"/>
              </w:rPr>
              <w:t>相关材料</w:t>
            </w:r>
            <w:r>
              <w:rPr>
                <w:rFonts w:hint="eastAsia" w:ascii="黑体" w:hAnsi="黑体" w:eastAsia="黑体" w:cs="黑体"/>
                <w:color w:val="auto"/>
                <w:sz w:val="24"/>
                <w:szCs w:val="24"/>
                <w:highlight w:val="none"/>
                <w:lang w:val="en-US" w:eastAsia="zh-CN"/>
              </w:rPr>
              <w:t>原件扫描件；</w:t>
            </w:r>
          </w:p>
          <w:p>
            <w:pPr>
              <w:numPr>
                <w:ilvl w:val="0"/>
                <w:numId w:val="0"/>
              </w:numPr>
              <w:shd w:val="clear"/>
              <w:adjustRightInd w:val="0"/>
              <w:snapToGrid w:val="0"/>
              <w:spacing w:line="400" w:lineRule="exact"/>
              <w:jc w:val="lef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w:t>
            </w:r>
            <w:r>
              <w:rPr>
                <w:rFonts w:hint="default" w:ascii="黑体" w:hAnsi="黑体" w:eastAsia="黑体" w:cs="黑体"/>
                <w:color w:val="auto"/>
                <w:sz w:val="24"/>
                <w:szCs w:val="24"/>
                <w:highlight w:val="none"/>
              </w:rPr>
              <w:t>担任</w:t>
            </w:r>
            <w:r>
              <w:rPr>
                <w:rFonts w:hint="eastAsia" w:ascii="黑体" w:hAnsi="黑体" w:eastAsia="黑体" w:cs="黑体"/>
                <w:color w:val="auto"/>
                <w:sz w:val="24"/>
                <w:szCs w:val="24"/>
                <w:highlight w:val="none"/>
                <w:lang w:val="en-US" w:eastAsia="zh-CN"/>
              </w:rPr>
              <w:t>过</w:t>
            </w:r>
            <w:r>
              <w:rPr>
                <w:rFonts w:hint="default" w:ascii="黑体" w:hAnsi="黑体" w:eastAsia="黑体" w:cs="黑体"/>
                <w:color w:val="auto"/>
                <w:sz w:val="24"/>
                <w:szCs w:val="24"/>
                <w:highlight w:val="none"/>
              </w:rPr>
              <w:t>党委、政府机关、企业</w:t>
            </w:r>
            <w:r>
              <w:rPr>
                <w:rFonts w:hint="eastAsia" w:ascii="黑体" w:hAnsi="黑体" w:eastAsia="黑体" w:cs="黑体"/>
                <w:color w:val="auto"/>
                <w:sz w:val="24"/>
                <w:szCs w:val="24"/>
                <w:highlight w:val="none"/>
                <w:lang w:eastAsia="zh-CN"/>
              </w:rPr>
              <w:t>、事业</w:t>
            </w:r>
            <w:r>
              <w:rPr>
                <w:rFonts w:hint="default" w:ascii="黑体" w:hAnsi="黑体" w:eastAsia="黑体" w:cs="黑体"/>
                <w:color w:val="auto"/>
                <w:sz w:val="24"/>
                <w:szCs w:val="24"/>
                <w:highlight w:val="none"/>
              </w:rPr>
              <w:t>单位法律顾问</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每提供</w:t>
            </w:r>
            <w:r>
              <w:rPr>
                <w:rFonts w:hint="default" w:ascii="黑体" w:hAnsi="黑体" w:eastAsia="黑体" w:cs="黑体"/>
                <w:color w:val="auto"/>
                <w:sz w:val="24"/>
                <w:szCs w:val="24"/>
                <w:highlight w:val="none"/>
              </w:rPr>
              <w:t>1家得5分，最多</w:t>
            </w:r>
            <w:r>
              <w:rPr>
                <w:rFonts w:hint="eastAsia" w:ascii="黑体" w:hAnsi="黑体" w:eastAsia="黑体" w:cs="黑体"/>
                <w:color w:val="auto"/>
                <w:sz w:val="24"/>
                <w:szCs w:val="24"/>
                <w:highlight w:val="none"/>
                <w:lang w:val="en-US" w:eastAsia="zh-CN"/>
              </w:rPr>
              <w:t>1</w:t>
            </w:r>
            <w:r>
              <w:rPr>
                <w:rFonts w:hint="default" w:ascii="黑体" w:hAnsi="黑体" w:eastAsia="黑体" w:cs="黑体"/>
                <w:color w:val="auto"/>
                <w:sz w:val="24"/>
                <w:szCs w:val="24"/>
                <w:highlight w:val="none"/>
              </w:rPr>
              <w:t>0分；没有不得分。需提供顾问合同</w:t>
            </w:r>
            <w:r>
              <w:rPr>
                <w:rFonts w:hint="eastAsia" w:ascii="黑体" w:hAnsi="黑体" w:eastAsia="黑体" w:cs="黑体"/>
                <w:color w:val="auto"/>
                <w:sz w:val="24"/>
                <w:szCs w:val="24"/>
                <w:highlight w:val="none"/>
                <w:lang w:val="en-US" w:eastAsia="zh-CN"/>
              </w:rPr>
              <w:t>原件扫描件；</w:t>
            </w:r>
          </w:p>
          <w:p>
            <w:pPr>
              <w:shd w:val="clear"/>
              <w:adjustRightInd w:val="0"/>
              <w:snapToGrid w:val="0"/>
              <w:spacing w:line="400" w:lineRule="exact"/>
              <w:jc w:val="left"/>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w:t>
            </w:r>
            <w:r>
              <w:rPr>
                <w:rFonts w:hint="default" w:ascii="黑体" w:hAnsi="黑体" w:eastAsia="黑体" w:cs="黑体"/>
                <w:color w:val="auto"/>
                <w:sz w:val="24"/>
                <w:szCs w:val="24"/>
                <w:highlight w:val="none"/>
              </w:rPr>
              <w:t>参与过群体性</w:t>
            </w:r>
            <w:r>
              <w:rPr>
                <w:rFonts w:hint="eastAsia" w:ascii="黑体" w:hAnsi="黑体" w:eastAsia="黑体" w:cs="黑体"/>
                <w:color w:val="auto"/>
                <w:sz w:val="24"/>
                <w:szCs w:val="24"/>
                <w:highlight w:val="none"/>
                <w:lang w:val="en-US" w:eastAsia="zh-CN"/>
              </w:rPr>
              <w:t>劳动争议</w:t>
            </w:r>
            <w:r>
              <w:rPr>
                <w:rFonts w:hint="default" w:ascii="黑体" w:hAnsi="黑体" w:eastAsia="黑体" w:cs="黑体"/>
                <w:color w:val="auto"/>
                <w:sz w:val="24"/>
                <w:szCs w:val="24"/>
                <w:highlight w:val="none"/>
              </w:rPr>
              <w:t>事件处置</w:t>
            </w:r>
            <w:r>
              <w:rPr>
                <w:rFonts w:hint="eastAsia" w:ascii="黑体" w:hAnsi="黑体" w:eastAsia="黑体" w:cs="黑体"/>
                <w:color w:val="auto"/>
                <w:sz w:val="24"/>
                <w:szCs w:val="24"/>
                <w:highlight w:val="none"/>
                <w:lang w:val="en-US" w:eastAsia="zh-CN"/>
              </w:rPr>
              <w:t>的</w:t>
            </w:r>
            <w:r>
              <w:rPr>
                <w:rFonts w:hint="default" w:ascii="黑体" w:hAnsi="黑体" w:eastAsia="黑体" w:cs="黑体"/>
                <w:color w:val="auto"/>
                <w:sz w:val="24"/>
                <w:szCs w:val="24"/>
                <w:highlight w:val="none"/>
              </w:rPr>
              <w:t>得10分，需提供</w:t>
            </w:r>
            <w:r>
              <w:rPr>
                <w:rFonts w:hint="eastAsia" w:ascii="黑体" w:hAnsi="黑体" w:eastAsia="黑体" w:cs="黑体"/>
                <w:color w:val="auto"/>
                <w:sz w:val="24"/>
                <w:szCs w:val="24"/>
                <w:highlight w:val="none"/>
                <w:lang w:eastAsia="zh-CN"/>
              </w:rPr>
              <w:t>相关材料</w:t>
            </w:r>
            <w:r>
              <w:rPr>
                <w:rFonts w:hint="eastAsia" w:ascii="黑体" w:hAnsi="黑体" w:eastAsia="黑体" w:cs="黑体"/>
                <w:color w:val="auto"/>
                <w:sz w:val="24"/>
                <w:szCs w:val="24"/>
                <w:highlight w:val="none"/>
                <w:lang w:val="en-US" w:eastAsia="zh-CN"/>
              </w:rPr>
              <w:t>原件扫描件。</w:t>
            </w:r>
          </w:p>
          <w:p>
            <w:pPr>
              <w:shd w:val="clear"/>
              <w:adjustRightInd w:val="0"/>
              <w:snapToGrid w:val="0"/>
              <w:spacing w:line="400" w:lineRule="exact"/>
              <w:jc w:val="left"/>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以上1-3条款顾问律师业绩</w:t>
            </w:r>
            <w:r>
              <w:rPr>
                <w:rFonts w:hint="default" w:ascii="黑体" w:hAnsi="黑体" w:eastAsia="黑体" w:cs="黑体"/>
                <w:color w:val="auto"/>
                <w:sz w:val="24"/>
                <w:szCs w:val="24"/>
                <w:highlight w:val="none"/>
              </w:rPr>
              <w:t>需</w:t>
            </w:r>
            <w:r>
              <w:rPr>
                <w:rFonts w:hint="eastAsia" w:ascii="黑体" w:hAnsi="黑体" w:eastAsia="黑体" w:cs="黑体"/>
                <w:b/>
                <w:bCs/>
                <w:color w:val="auto"/>
                <w:sz w:val="24"/>
                <w:szCs w:val="24"/>
                <w:highlight w:val="none"/>
              </w:rPr>
              <w:t>提供相关证书</w:t>
            </w:r>
            <w:r>
              <w:rPr>
                <w:rFonts w:hint="eastAsia" w:ascii="黑体" w:hAnsi="黑体" w:eastAsia="黑体" w:cs="黑体"/>
                <w:b/>
                <w:bCs/>
                <w:color w:val="auto"/>
                <w:sz w:val="24"/>
                <w:szCs w:val="24"/>
                <w:highlight w:val="none"/>
                <w:lang w:val="en-US" w:eastAsia="zh-CN"/>
              </w:rPr>
              <w:t>及相关佐证材料</w:t>
            </w:r>
            <w:r>
              <w:rPr>
                <w:rFonts w:hint="eastAsia" w:ascii="黑体" w:hAnsi="黑体" w:eastAsia="黑体" w:cs="黑体"/>
                <w:b/>
                <w:bCs/>
                <w:color w:val="auto"/>
                <w:sz w:val="24"/>
                <w:szCs w:val="24"/>
                <w:highlight w:val="none"/>
                <w:lang w:eastAsia="zh-CN"/>
              </w:rPr>
              <w:t>原件扫描件</w:t>
            </w:r>
            <w:r>
              <w:rPr>
                <w:rFonts w:hint="eastAsia" w:ascii="黑体" w:hAnsi="黑体" w:eastAsia="黑体" w:cs="黑体"/>
                <w:b/>
                <w:bCs/>
                <w:color w:val="auto"/>
                <w:sz w:val="24"/>
                <w:szCs w:val="24"/>
                <w:highlight w:val="none"/>
              </w:rPr>
              <w:t>并加盖公章，以及社会保障部门出具的最近三个月（自202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6</w:t>
            </w:r>
            <w:r>
              <w:rPr>
                <w:rFonts w:hint="eastAsia" w:ascii="黑体" w:hAnsi="黑体" w:eastAsia="黑体" w:cs="黑体"/>
                <w:b/>
                <w:bCs/>
                <w:color w:val="auto"/>
                <w:sz w:val="24"/>
                <w:szCs w:val="24"/>
                <w:highlight w:val="none"/>
              </w:rPr>
              <w:t>月至</w:t>
            </w:r>
            <w:r>
              <w:rPr>
                <w:rFonts w:hint="eastAsia" w:ascii="黑体" w:hAnsi="黑体" w:eastAsia="黑体" w:cs="黑体"/>
                <w:b/>
                <w:bCs/>
                <w:color w:val="auto"/>
                <w:sz w:val="24"/>
                <w:szCs w:val="24"/>
                <w:highlight w:val="none"/>
                <w:lang w:val="en-US" w:eastAsia="zh-CN"/>
              </w:rPr>
              <w:t>8</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内至少其中一个月</w:t>
            </w:r>
            <w:r>
              <w:rPr>
                <w:rFonts w:hint="eastAsia" w:ascii="黑体" w:hAnsi="黑体" w:eastAsia="黑体" w:cs="黑体"/>
                <w:b/>
                <w:bCs/>
                <w:color w:val="auto"/>
                <w:sz w:val="24"/>
                <w:szCs w:val="24"/>
                <w:highlight w:val="none"/>
              </w:rPr>
              <w:t>在本单位连续缴纳社会养老保险的缴费清单，可为官网打印的具有二维码或验证码的缴费清单）</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未同时提供养保缴费清单或未响应的不予得分。</w:t>
            </w:r>
          </w:p>
        </w:tc>
      </w:tr>
      <w:tr>
        <w:tblPrEx>
          <w:tblCellMar>
            <w:top w:w="0" w:type="dxa"/>
            <w:left w:w="108" w:type="dxa"/>
            <w:bottom w:w="0" w:type="dxa"/>
            <w:right w:w="108" w:type="dxa"/>
          </w:tblCellMar>
        </w:tblPrEx>
        <w:trPr>
          <w:trHeight w:val="1007" w:hRule="atLeast"/>
          <w:jc w:val="center"/>
        </w:trPr>
        <w:tc>
          <w:tcPr>
            <w:tcW w:w="1241" w:type="dxa"/>
            <w:vMerge w:val="continue"/>
            <w:tcBorders>
              <w:left w:val="single" w:color="000000" w:sz="4" w:space="0"/>
              <w:bottom w:val="single" w:color="000000" w:sz="4" w:space="0"/>
              <w:right w:val="single" w:color="000000" w:sz="4" w:space="0"/>
            </w:tcBorders>
            <w:vAlign w:val="center"/>
          </w:tcPr>
          <w:p>
            <w:pPr>
              <w:pStyle w:val="21"/>
              <w:shd w:val="clear"/>
              <w:jc w:val="left"/>
              <w:rPr>
                <w:rFonts w:hint="eastAsia" w:ascii="黑体" w:hAnsi="黑体" w:eastAsia="黑体" w:cs="黑体"/>
                <w:color w:val="auto"/>
                <w:sz w:val="24"/>
                <w:szCs w:val="24"/>
                <w:highlight w:val="none"/>
              </w:rPr>
            </w:pPr>
          </w:p>
        </w:tc>
        <w:tc>
          <w:tcPr>
            <w:tcW w:w="1652" w:type="dxa"/>
            <w:tcBorders>
              <w:top w:val="single" w:color="000000" w:sz="4" w:space="0"/>
              <w:bottom w:val="single" w:color="000000" w:sz="4" w:space="0"/>
              <w:right w:val="single" w:color="000000" w:sz="4" w:space="0"/>
            </w:tcBorders>
            <w:vAlign w:val="center"/>
          </w:tcPr>
          <w:p>
            <w:pPr>
              <w:shd w:val="clear"/>
              <w:snapToGrid w:val="0"/>
              <w:spacing w:line="300" w:lineRule="exact"/>
              <w:jc w:val="center"/>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顾问律师获得荣誉（10分）</w:t>
            </w:r>
          </w:p>
        </w:tc>
        <w:tc>
          <w:tcPr>
            <w:tcW w:w="6610" w:type="dxa"/>
            <w:gridSpan w:val="2"/>
            <w:tcBorders>
              <w:top w:val="single" w:color="000000" w:sz="4" w:space="0"/>
              <w:bottom w:val="single" w:color="000000" w:sz="4" w:space="0"/>
              <w:right w:val="single" w:color="000000" w:sz="4" w:space="0"/>
            </w:tcBorders>
            <w:vAlign w:val="center"/>
          </w:tcPr>
          <w:p>
            <w:pPr>
              <w:shd w:val="clear"/>
              <w:adjustRightInd w:val="0"/>
              <w:snapToGrid w:val="0"/>
              <w:spacing w:line="400" w:lineRule="exact"/>
              <w:jc w:val="left"/>
              <w:rPr>
                <w:rFonts w:hint="eastAsia" w:ascii="黑体" w:hAnsi="黑体" w:eastAsia="黑体" w:cs="黑体"/>
                <w:color w:val="auto"/>
                <w:sz w:val="24"/>
                <w:szCs w:val="24"/>
                <w:highlight w:val="none"/>
              </w:rPr>
            </w:pPr>
            <w:r>
              <w:rPr>
                <w:rFonts w:hint="default" w:ascii="黑体" w:hAnsi="黑体" w:eastAsia="黑体" w:cs="黑体"/>
                <w:color w:val="auto"/>
                <w:sz w:val="24"/>
                <w:szCs w:val="24"/>
                <w:highlight w:val="none"/>
              </w:rPr>
              <w:t>获得过</w:t>
            </w:r>
            <w:r>
              <w:rPr>
                <w:rFonts w:hint="eastAsia" w:ascii="黑体" w:hAnsi="黑体" w:eastAsia="黑体" w:cs="黑体"/>
                <w:color w:val="auto"/>
                <w:sz w:val="24"/>
                <w:szCs w:val="24"/>
                <w:highlight w:val="none"/>
                <w:lang w:eastAsia="zh-CN"/>
              </w:rPr>
              <w:t>区级</w:t>
            </w:r>
            <w:r>
              <w:rPr>
                <w:rFonts w:hint="eastAsia" w:ascii="黑体" w:hAnsi="黑体" w:eastAsia="黑体" w:cs="黑体"/>
                <w:color w:val="auto"/>
                <w:sz w:val="24"/>
                <w:szCs w:val="24"/>
                <w:highlight w:val="none"/>
                <w:lang w:val="en-US" w:eastAsia="zh-CN"/>
              </w:rPr>
              <w:t>或</w:t>
            </w:r>
            <w:r>
              <w:rPr>
                <w:rFonts w:hint="eastAsia" w:ascii="黑体" w:hAnsi="黑体" w:eastAsia="黑体" w:cs="黑体"/>
                <w:color w:val="auto"/>
                <w:sz w:val="24"/>
                <w:szCs w:val="24"/>
                <w:highlight w:val="none"/>
                <w:lang w:eastAsia="zh-CN"/>
              </w:rPr>
              <w:t>市</w:t>
            </w:r>
            <w:r>
              <w:rPr>
                <w:rFonts w:hint="default" w:ascii="黑体" w:hAnsi="黑体" w:eastAsia="黑体" w:cs="黑体"/>
                <w:color w:val="auto"/>
                <w:sz w:val="24"/>
                <w:szCs w:val="24"/>
                <w:highlight w:val="none"/>
              </w:rPr>
              <w:t>级及以上荣誉称号证书</w:t>
            </w:r>
            <w:r>
              <w:rPr>
                <w:rFonts w:hint="eastAsia" w:ascii="黑体" w:hAnsi="黑体" w:eastAsia="黑体" w:cs="黑体"/>
                <w:color w:val="auto"/>
                <w:sz w:val="24"/>
                <w:szCs w:val="24"/>
                <w:highlight w:val="none"/>
                <w:lang w:val="en-US" w:eastAsia="zh-CN"/>
              </w:rPr>
              <w:t>的得10分，提供相关证书原件扫描件，未提供或未响应的不予得分。</w:t>
            </w:r>
          </w:p>
        </w:tc>
      </w:tr>
      <w:tr>
        <w:tblPrEx>
          <w:tblCellMar>
            <w:top w:w="0" w:type="dxa"/>
            <w:left w:w="108" w:type="dxa"/>
            <w:bottom w:w="0" w:type="dxa"/>
            <w:right w:w="108" w:type="dxa"/>
          </w:tblCellMar>
        </w:tblPrEx>
        <w:trPr>
          <w:trHeight w:val="315" w:hRule="atLeast"/>
          <w:jc w:val="center"/>
        </w:trPr>
        <w:tc>
          <w:tcPr>
            <w:tcW w:w="1241" w:type="dxa"/>
            <w:tcBorders>
              <w:top w:val="single" w:color="000000" w:sz="4" w:space="0"/>
              <w:left w:val="single" w:color="000000" w:sz="4" w:space="0"/>
              <w:bottom w:val="single" w:color="000000" w:sz="4" w:space="0"/>
              <w:right w:val="single" w:color="000000" w:sz="4" w:space="0"/>
            </w:tcBorders>
            <w:vAlign w:val="center"/>
          </w:tcPr>
          <w:p>
            <w:pPr>
              <w:pStyle w:val="21"/>
              <w:shd w:val="clear"/>
              <w:spacing w:line="360" w:lineRule="atLeast"/>
              <w:jc w:val="left"/>
              <w:rPr>
                <w:rFonts w:hint="eastAsia" w:ascii="黑体" w:hAnsi="黑体" w:eastAsia="黑体" w:cs="黑体"/>
                <w:color w:val="auto"/>
                <w:sz w:val="24"/>
                <w:szCs w:val="24"/>
                <w:highlight w:val="none"/>
              </w:rPr>
            </w:pPr>
          </w:p>
        </w:tc>
        <w:tc>
          <w:tcPr>
            <w:tcW w:w="1652" w:type="dxa"/>
            <w:tcBorders>
              <w:top w:val="single" w:color="000000" w:sz="4" w:space="0"/>
              <w:bottom w:val="single" w:color="000000" w:sz="4" w:space="0"/>
              <w:right w:val="single" w:color="000000" w:sz="4" w:space="0"/>
            </w:tcBorders>
            <w:vAlign w:val="center"/>
          </w:tcPr>
          <w:p>
            <w:pPr>
              <w:shd w:val="clear"/>
              <w:snapToGrid w:val="0"/>
              <w:spacing w:line="300" w:lineRule="exact"/>
              <w:jc w:val="center"/>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投标单位获得荣誉证书（10分）</w:t>
            </w:r>
          </w:p>
        </w:tc>
        <w:tc>
          <w:tcPr>
            <w:tcW w:w="6610" w:type="dxa"/>
            <w:gridSpan w:val="2"/>
            <w:tcBorders>
              <w:top w:val="single" w:color="000000" w:sz="4" w:space="0"/>
              <w:bottom w:val="single" w:color="000000" w:sz="4" w:space="0"/>
              <w:right w:val="single" w:color="000000" w:sz="4" w:space="0"/>
            </w:tcBorders>
            <w:vAlign w:val="center"/>
          </w:tcPr>
          <w:p>
            <w:pPr>
              <w:shd w:val="clear"/>
              <w:rPr>
                <w:rFonts w:hint="eastAsia" w:ascii="黑体" w:hAnsi="黑体" w:eastAsia="黑体" w:cs="黑体"/>
                <w:color w:val="auto"/>
                <w:sz w:val="24"/>
                <w:szCs w:val="24"/>
                <w:highlight w:val="none"/>
                <w:lang w:val="en-US" w:eastAsia="zh-CN"/>
              </w:rPr>
            </w:pPr>
            <w:r>
              <w:rPr>
                <w:rFonts w:hint="default" w:ascii="黑体" w:hAnsi="黑体" w:eastAsia="黑体" w:cs="黑体"/>
                <w:color w:val="auto"/>
                <w:sz w:val="24"/>
                <w:szCs w:val="24"/>
                <w:highlight w:val="none"/>
              </w:rPr>
              <w:t>获得过</w:t>
            </w:r>
            <w:r>
              <w:rPr>
                <w:rFonts w:hint="eastAsia" w:ascii="黑体" w:hAnsi="黑体" w:eastAsia="黑体" w:cs="黑体"/>
                <w:color w:val="auto"/>
                <w:sz w:val="24"/>
                <w:szCs w:val="24"/>
                <w:highlight w:val="none"/>
                <w:lang w:eastAsia="zh-CN"/>
              </w:rPr>
              <w:t>区级</w:t>
            </w:r>
            <w:r>
              <w:rPr>
                <w:rFonts w:hint="eastAsia" w:ascii="黑体" w:hAnsi="黑体" w:eastAsia="黑体" w:cs="黑体"/>
                <w:color w:val="auto"/>
                <w:sz w:val="24"/>
                <w:szCs w:val="24"/>
                <w:highlight w:val="none"/>
                <w:lang w:val="en-US" w:eastAsia="zh-CN"/>
              </w:rPr>
              <w:t>或</w:t>
            </w:r>
            <w:r>
              <w:rPr>
                <w:rFonts w:hint="eastAsia" w:ascii="黑体" w:hAnsi="黑体" w:eastAsia="黑体" w:cs="黑体"/>
                <w:color w:val="auto"/>
                <w:sz w:val="24"/>
                <w:szCs w:val="24"/>
                <w:highlight w:val="none"/>
                <w:lang w:eastAsia="zh-CN"/>
              </w:rPr>
              <w:t>市</w:t>
            </w:r>
            <w:r>
              <w:rPr>
                <w:rFonts w:hint="default" w:ascii="黑体" w:hAnsi="黑体" w:eastAsia="黑体" w:cs="黑体"/>
                <w:color w:val="auto"/>
                <w:sz w:val="24"/>
                <w:szCs w:val="24"/>
                <w:highlight w:val="none"/>
              </w:rPr>
              <w:t>级及以上荣誉称号证书</w:t>
            </w:r>
            <w:r>
              <w:rPr>
                <w:rFonts w:hint="eastAsia" w:ascii="黑体" w:hAnsi="黑体" w:eastAsia="黑体" w:cs="黑体"/>
                <w:color w:val="auto"/>
                <w:sz w:val="24"/>
                <w:szCs w:val="24"/>
                <w:highlight w:val="none"/>
                <w:lang w:val="en-US" w:eastAsia="zh-CN"/>
              </w:rPr>
              <w:t>的得10分，提供相关证书原件扫描件，未提供或未响应的不予得分。</w:t>
            </w:r>
          </w:p>
          <w:p>
            <w:pPr>
              <w:pStyle w:val="2"/>
              <w:ind w:left="0" w:leftChars="0" w:firstLine="482" w:firstLineChars="200"/>
              <w:rPr>
                <w:rFonts w:hint="default"/>
                <w:color w:val="auto"/>
                <w:highlight w:val="none"/>
                <w:lang w:val="en-US"/>
              </w:rPr>
            </w:pPr>
            <w:r>
              <w:rPr>
                <w:rFonts w:hint="eastAsia" w:ascii="黑体" w:hAnsi="黑体" w:eastAsia="黑体" w:cs="黑体"/>
                <w:b/>
                <w:bCs/>
                <w:color w:val="auto"/>
                <w:sz w:val="24"/>
                <w:szCs w:val="24"/>
                <w:highlight w:val="none"/>
                <w:lang w:val="en-US" w:eastAsia="zh-CN"/>
              </w:rPr>
              <w:t>注明：投标单位获得荣誉证书和顾问律师获得荣誉证书不得为同一证书，只能计分一次，不重复计分</w:t>
            </w:r>
            <w:r>
              <w:rPr>
                <w:rFonts w:hint="eastAsia" w:ascii="黑体" w:hAnsi="黑体" w:eastAsia="黑体" w:cs="黑体"/>
                <w:color w:val="auto"/>
                <w:sz w:val="24"/>
                <w:szCs w:val="24"/>
                <w:highlight w:val="none"/>
                <w:lang w:val="en-US" w:eastAsia="zh-CN"/>
              </w:rPr>
              <w:t>。</w:t>
            </w:r>
          </w:p>
        </w:tc>
      </w:tr>
      <w:tr>
        <w:tblPrEx>
          <w:tblCellMar>
            <w:top w:w="0" w:type="dxa"/>
            <w:left w:w="108" w:type="dxa"/>
            <w:bottom w:w="0" w:type="dxa"/>
            <w:right w:w="108" w:type="dxa"/>
          </w:tblCellMar>
        </w:tblPrEx>
        <w:trPr>
          <w:trHeight w:val="712" w:hRule="atLeast"/>
          <w:jc w:val="center"/>
        </w:trPr>
        <w:tc>
          <w:tcPr>
            <w:tcW w:w="9503" w:type="dxa"/>
            <w:gridSpan w:val="4"/>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shd w:val="clear"/>
              <w:kinsoku/>
              <w:wordWrap/>
              <w:overflowPunct/>
              <w:topLinePunct w:val="0"/>
              <w:autoSpaceDE/>
              <w:autoSpaceDN/>
              <w:bidi w:val="0"/>
              <w:adjustRightInd/>
              <w:snapToGrid w:val="0"/>
              <w:spacing w:line="440" w:lineRule="exact"/>
              <w:jc w:val="left"/>
              <w:textAlignment w:val="auto"/>
              <w:rPr>
                <w:rFonts w:hint="default" w:ascii="黑体" w:hAnsi="黑体" w:eastAsia="黑体" w:cs="黑体"/>
                <w:color w:val="auto"/>
                <w:sz w:val="24"/>
                <w:szCs w:val="24"/>
                <w:highlight w:val="none"/>
                <w:u w:val="none"/>
                <w:lang w:val="en-US" w:eastAsia="zh-CN"/>
              </w:rPr>
            </w:pPr>
            <w:r>
              <w:rPr>
                <w:rFonts w:hint="eastAsia" w:ascii="黑体" w:hAnsi="黑体" w:eastAsia="黑体" w:cs="黑体"/>
                <w:color w:val="auto"/>
                <w:kern w:val="0"/>
                <w:sz w:val="24"/>
                <w:szCs w:val="24"/>
                <w:highlight w:val="none"/>
              </w:rPr>
              <w:t>注：</w:t>
            </w:r>
            <w:r>
              <w:rPr>
                <w:rFonts w:hint="eastAsia" w:ascii="黑体" w:hAnsi="黑体" w:eastAsia="黑体" w:cs="黑体"/>
                <w:color w:val="auto"/>
                <w:kern w:val="0"/>
                <w:sz w:val="24"/>
                <w:szCs w:val="24"/>
                <w:highlight w:val="none"/>
                <w:u w:val="none"/>
                <w:lang w:eastAsia="zh-CN"/>
              </w:rPr>
              <w:t>（</w:t>
            </w:r>
            <w:r>
              <w:rPr>
                <w:rFonts w:hint="eastAsia" w:ascii="黑体" w:hAnsi="黑体" w:eastAsia="黑体" w:cs="黑体"/>
                <w:color w:val="auto"/>
                <w:kern w:val="0"/>
                <w:sz w:val="24"/>
                <w:szCs w:val="24"/>
                <w:highlight w:val="none"/>
                <w:u w:val="none"/>
                <w:lang w:val="en-US" w:eastAsia="zh-CN"/>
              </w:rPr>
              <w:t>1</w:t>
            </w:r>
            <w:r>
              <w:rPr>
                <w:rFonts w:hint="eastAsia" w:ascii="黑体" w:hAnsi="黑体" w:eastAsia="黑体" w:cs="黑体"/>
                <w:color w:val="auto"/>
                <w:kern w:val="0"/>
                <w:sz w:val="24"/>
                <w:szCs w:val="24"/>
                <w:highlight w:val="none"/>
                <w:u w:val="none"/>
                <w:lang w:eastAsia="zh-CN"/>
              </w:rPr>
              <w:t>）</w:t>
            </w:r>
            <w:r>
              <w:rPr>
                <w:rFonts w:hint="eastAsia" w:ascii="黑体" w:hAnsi="黑体" w:eastAsia="黑体" w:cs="黑体"/>
                <w:color w:val="auto"/>
                <w:kern w:val="0"/>
                <w:sz w:val="24"/>
                <w:szCs w:val="24"/>
                <w:highlight w:val="none"/>
                <w:u w:val="none"/>
              </w:rPr>
              <w:t>上述条款号2.2.2</w:t>
            </w:r>
            <w:r>
              <w:rPr>
                <w:rFonts w:hint="eastAsia" w:ascii="黑体" w:hAnsi="黑体" w:eastAsia="黑体" w:cs="黑体"/>
                <w:b/>
                <w:bCs/>
                <w:color w:val="auto"/>
                <w:kern w:val="0"/>
                <w:sz w:val="24"/>
                <w:szCs w:val="24"/>
                <w:highlight w:val="none"/>
                <w:u w:val="none"/>
              </w:rPr>
              <w:t>技术商务标的纸质响应所有材料需提供</w:t>
            </w:r>
            <w:r>
              <w:rPr>
                <w:rFonts w:hint="eastAsia" w:ascii="黑体" w:hAnsi="黑体" w:eastAsia="黑体" w:cs="黑体"/>
                <w:b/>
                <w:bCs/>
                <w:color w:val="auto"/>
                <w:kern w:val="0"/>
                <w:sz w:val="24"/>
                <w:szCs w:val="24"/>
                <w:highlight w:val="none"/>
                <w:u w:val="none"/>
                <w:lang w:eastAsia="zh-CN"/>
              </w:rPr>
              <w:t>原件扫描件</w:t>
            </w:r>
            <w:r>
              <w:rPr>
                <w:rFonts w:hint="eastAsia" w:ascii="黑体" w:hAnsi="黑体" w:eastAsia="黑体" w:cs="黑体"/>
                <w:b/>
                <w:bCs/>
                <w:color w:val="auto"/>
                <w:kern w:val="0"/>
                <w:sz w:val="24"/>
                <w:szCs w:val="24"/>
                <w:highlight w:val="none"/>
                <w:u w:val="none"/>
              </w:rPr>
              <w:t>并加盖单位公章</w:t>
            </w:r>
            <w:r>
              <w:rPr>
                <w:rFonts w:hint="eastAsia" w:ascii="黑体" w:hAnsi="黑体" w:eastAsia="黑体" w:cs="黑体"/>
                <w:b/>
                <w:bCs/>
                <w:color w:val="auto"/>
                <w:sz w:val="24"/>
                <w:szCs w:val="24"/>
                <w:highlight w:val="none"/>
                <w:u w:val="none"/>
              </w:rPr>
              <w:t>。</w:t>
            </w:r>
            <w:r>
              <w:rPr>
                <w:rFonts w:hint="eastAsia" w:ascii="黑体" w:hAnsi="黑体" w:eastAsia="黑体" w:cs="黑体"/>
                <w:color w:val="auto"/>
                <w:sz w:val="24"/>
                <w:szCs w:val="24"/>
                <w:highlight w:val="none"/>
                <w:u w:val="none"/>
                <w:lang w:eastAsia="zh-CN"/>
              </w:rPr>
              <w:t>若</w:t>
            </w:r>
            <w:r>
              <w:rPr>
                <w:rFonts w:hint="eastAsia" w:ascii="黑体" w:hAnsi="黑体" w:eastAsia="黑体" w:cs="黑体"/>
                <w:color w:val="auto"/>
                <w:sz w:val="24"/>
                <w:szCs w:val="24"/>
                <w:highlight w:val="none"/>
                <w:u w:val="none"/>
                <w:lang w:val="en-US" w:eastAsia="zh-CN"/>
              </w:rPr>
              <w:t>提供的</w:t>
            </w:r>
            <w:r>
              <w:rPr>
                <w:rFonts w:hint="eastAsia" w:ascii="黑体" w:hAnsi="黑体" w:eastAsia="黑体" w:cs="黑体"/>
                <w:color w:val="auto"/>
                <w:sz w:val="24"/>
                <w:szCs w:val="24"/>
                <w:highlight w:val="none"/>
                <w:u w:val="none"/>
                <w:lang w:eastAsia="zh-CN"/>
              </w:rPr>
              <w:t>原件扫描件不清晰或不符合</w:t>
            </w:r>
            <w:r>
              <w:rPr>
                <w:rFonts w:hint="eastAsia" w:ascii="黑体" w:hAnsi="黑体" w:eastAsia="黑体" w:cs="黑体"/>
                <w:color w:val="auto"/>
                <w:sz w:val="24"/>
                <w:szCs w:val="24"/>
                <w:highlight w:val="none"/>
                <w:u w:val="none"/>
                <w:lang w:val="en-US" w:eastAsia="zh-CN"/>
              </w:rPr>
              <w:t>不予得分；</w:t>
            </w:r>
          </w:p>
          <w:p>
            <w:pPr>
              <w:pStyle w:val="2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黑体" w:hAnsi="黑体" w:eastAsia="黑体" w:cs="黑体"/>
                <w:b/>
                <w:bCs/>
                <w:color w:val="auto"/>
                <w:sz w:val="24"/>
                <w:szCs w:val="24"/>
                <w:highlight w:val="none"/>
                <w:lang w:val="en-US" w:eastAsia="zh-CN"/>
              </w:rPr>
            </w:pPr>
            <w:r>
              <w:rPr>
                <w:rFonts w:hint="eastAsia" w:ascii="黑体" w:hAnsi="黑体" w:eastAsia="黑体" w:cs="黑体"/>
                <w:color w:val="auto"/>
                <w:sz w:val="24"/>
                <w:szCs w:val="24"/>
                <w:highlight w:val="none"/>
                <w:u w:val="none"/>
                <w:lang w:eastAsia="zh-CN"/>
              </w:rPr>
              <w:t>（</w:t>
            </w:r>
            <w:r>
              <w:rPr>
                <w:rFonts w:hint="eastAsia" w:ascii="黑体" w:hAnsi="黑体" w:eastAsia="黑体" w:cs="黑体"/>
                <w:color w:val="auto"/>
                <w:sz w:val="24"/>
                <w:szCs w:val="24"/>
                <w:highlight w:val="none"/>
                <w:u w:val="none"/>
                <w:lang w:val="en-US" w:eastAsia="zh-CN"/>
              </w:rPr>
              <w:t>2</w:t>
            </w:r>
            <w:r>
              <w:rPr>
                <w:rFonts w:hint="eastAsia" w:ascii="黑体" w:hAnsi="黑体" w:eastAsia="黑体" w:cs="黑体"/>
                <w:color w:val="auto"/>
                <w:sz w:val="24"/>
                <w:szCs w:val="24"/>
                <w:highlight w:val="none"/>
                <w:u w:val="none"/>
                <w:lang w:eastAsia="zh-CN"/>
              </w:rPr>
              <w:t>）</w:t>
            </w:r>
            <w:r>
              <w:rPr>
                <w:rFonts w:hint="eastAsia" w:ascii="黑体" w:hAnsi="黑体" w:eastAsia="黑体" w:cs="黑体"/>
                <w:color w:val="auto"/>
                <w:sz w:val="24"/>
                <w:szCs w:val="24"/>
                <w:highlight w:val="none"/>
                <w:u w:val="none"/>
                <w:lang w:val="en-US" w:eastAsia="zh-CN"/>
              </w:rPr>
              <w:t>本项目在投标时提供的所有佐证材料，投标单位在成交后（发布成交公示之日起）3日内提交所有佐证材料原件给采购人核实，若经核实与原件不符，将视为虚假应标，采购人有权取消其成交的权利，并视情节轻重报相关监管部门作为失信名单予以通报。</w:t>
            </w:r>
          </w:p>
        </w:tc>
      </w:tr>
      <w:tr>
        <w:tblPrEx>
          <w:tblCellMar>
            <w:top w:w="0" w:type="dxa"/>
            <w:left w:w="108" w:type="dxa"/>
            <w:bottom w:w="0" w:type="dxa"/>
            <w:right w:w="108" w:type="dxa"/>
          </w:tblCellMar>
        </w:tblPrEx>
        <w:trPr>
          <w:trHeight w:val="622" w:hRule="atLeast"/>
          <w:jc w:val="center"/>
        </w:trPr>
        <w:tc>
          <w:tcPr>
            <w:tcW w:w="1241" w:type="dxa"/>
            <w:tcBorders>
              <w:top w:val="single" w:color="000000" w:sz="4" w:space="0"/>
              <w:left w:val="single" w:color="000000" w:sz="4" w:space="0"/>
              <w:bottom w:val="single" w:color="000000" w:sz="4" w:space="0"/>
              <w:right w:val="single" w:color="000000" w:sz="4" w:space="0"/>
            </w:tcBorders>
            <w:vAlign w:val="center"/>
          </w:tcPr>
          <w:p>
            <w:pPr>
              <w:pStyle w:val="21"/>
              <w:shd w:val="clear"/>
              <w:spacing w:line="360" w:lineRule="atLeas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2.2.3</w:t>
            </w:r>
          </w:p>
          <w:p>
            <w:pPr>
              <w:pStyle w:val="21"/>
              <w:shd w:val="clear"/>
              <w:spacing w:line="360" w:lineRule="atLeas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报价标</w:t>
            </w:r>
          </w:p>
          <w:p>
            <w:pPr>
              <w:pStyle w:val="21"/>
              <w:shd w:val="clear"/>
              <w:spacing w:line="360" w:lineRule="atLeast"/>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（20分）</w:t>
            </w:r>
            <w:r>
              <w:rPr>
                <w:rFonts w:hint="eastAsia" w:ascii="黑体" w:hAnsi="黑体" w:eastAsia="黑体" w:cs="黑体"/>
                <w:vanish/>
                <w:color w:val="auto"/>
                <w:kern w:val="0"/>
                <w:sz w:val="24"/>
                <w:szCs w:val="24"/>
                <w:highlight w:val="none"/>
              </w:rPr>
              <w:t>五条济技术开发区精密机械产业园土壤环境场地调查服务项目分）</w:t>
            </w:r>
          </w:p>
        </w:tc>
        <w:tc>
          <w:tcPr>
            <w:tcW w:w="1652" w:type="dxa"/>
            <w:tcBorders>
              <w:top w:val="single" w:color="000000" w:sz="4" w:space="0"/>
              <w:bottom w:val="single" w:color="000000" w:sz="4" w:space="0"/>
              <w:right w:val="single" w:color="000000" w:sz="4" w:space="0"/>
            </w:tcBorders>
            <w:vAlign w:val="center"/>
          </w:tcPr>
          <w:p>
            <w:pPr>
              <w:pStyle w:val="21"/>
              <w:shd w:val="clear"/>
              <w:spacing w:line="360" w:lineRule="atLeast"/>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磋商基准价</w:t>
            </w:r>
          </w:p>
        </w:tc>
        <w:tc>
          <w:tcPr>
            <w:tcW w:w="6610" w:type="dxa"/>
            <w:gridSpan w:val="2"/>
            <w:tcBorders>
              <w:top w:val="single" w:color="000000" w:sz="4" w:space="0"/>
              <w:bottom w:val="single" w:color="000000" w:sz="4" w:space="0"/>
              <w:right w:val="single" w:color="000000" w:sz="4" w:space="0"/>
            </w:tcBorders>
            <w:vAlign w:val="center"/>
          </w:tcPr>
          <w:p>
            <w:pPr>
              <w:pStyle w:val="21"/>
              <w:shd w:val="clear"/>
              <w:spacing w:line="360" w:lineRule="atLeas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满足磋商文件要求且响应价格最低的响应报价为评标基准价，其价格分为满分（20分），其他磋商供应商的价格分统一按照下列公式计算：</w:t>
            </w:r>
          </w:p>
          <w:p>
            <w:pPr>
              <w:pStyle w:val="21"/>
              <w:shd w:val="clear"/>
              <w:spacing w:line="360" w:lineRule="atLeas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响应报价得分=(响应评标基准价／响应报价)×20%*100</w:t>
            </w:r>
          </w:p>
        </w:tc>
      </w:tr>
    </w:tbl>
    <w:p>
      <w:pPr>
        <w:pStyle w:val="21"/>
        <w:shd w:val="clear"/>
        <w:rPr>
          <w:rFonts w:hint="eastAsia" w:ascii="黑体" w:hAnsi="黑体" w:eastAsia="黑体" w:cs="黑体"/>
          <w:color w:val="auto"/>
          <w:sz w:val="28"/>
          <w:szCs w:val="28"/>
          <w:highlight w:val="none"/>
        </w:rPr>
      </w:pPr>
    </w:p>
    <w:p>
      <w:pPr>
        <w:pStyle w:val="21"/>
        <w:shd w:val="clear"/>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五、未尽事宜由评标委员会决定。</w:t>
      </w:r>
    </w:p>
    <w:p>
      <w:pPr>
        <w:spacing w:line="460" w:lineRule="exact"/>
        <w:rPr>
          <w:rFonts w:hint="eastAsia" w:ascii="黑体" w:hAnsi="黑体" w:eastAsia="黑体" w:cs="黑体"/>
          <w:b/>
          <w:color w:val="auto"/>
          <w:kern w:val="2"/>
          <w:sz w:val="24"/>
          <w:szCs w:val="24"/>
          <w:highlight w:val="none"/>
          <w:lang w:val="en-US" w:eastAsia="zh-CN" w:bidi="ar-SA"/>
        </w:rPr>
      </w:pPr>
      <w:r>
        <w:rPr>
          <w:rFonts w:hint="eastAsia" w:ascii="黑体" w:hAnsi="黑体" w:eastAsia="黑体" w:cs="黑体"/>
          <w:b/>
          <w:color w:val="auto"/>
          <w:kern w:val="2"/>
          <w:sz w:val="24"/>
          <w:szCs w:val="24"/>
          <w:highlight w:val="none"/>
          <w:lang w:val="en-US" w:eastAsia="zh-CN" w:bidi="ar-SA"/>
        </w:rPr>
        <w:t>六、其他</w:t>
      </w:r>
    </w:p>
    <w:p>
      <w:pPr>
        <w:spacing w:line="460" w:lineRule="exact"/>
        <w:ind w:firstLine="480"/>
        <w:rPr>
          <w:rFonts w:hint="eastAsia" w:ascii="黑体" w:hAnsi="黑体" w:eastAsia="黑体" w:cs="黑体"/>
          <w:b/>
          <w:color w:val="auto"/>
          <w:kern w:val="2"/>
          <w:sz w:val="24"/>
          <w:szCs w:val="24"/>
          <w:highlight w:val="none"/>
          <w:lang w:val="en-US" w:eastAsia="zh-CN" w:bidi="ar-SA"/>
        </w:rPr>
      </w:pPr>
      <w:r>
        <w:rPr>
          <w:rFonts w:hint="eastAsia" w:ascii="黑体" w:hAnsi="黑体" w:eastAsia="黑体" w:cs="黑体"/>
          <w:b/>
          <w:color w:val="auto"/>
          <w:kern w:val="2"/>
          <w:sz w:val="24"/>
          <w:szCs w:val="24"/>
          <w:highlight w:val="none"/>
          <w:lang w:val="en-US" w:eastAsia="zh-CN" w:bidi="ar-SA"/>
        </w:rPr>
        <w:t>当排名第一的成交候选人无正当理由放弃成交，被查实存在影响成交结果的违法行为等情形，采购人有权按照政府采购相关法律法规的规定对其采取惩戒措施，包含但不限于列入采购失信人黑名单等措施。</w:t>
      </w:r>
    </w:p>
    <w:p>
      <w:pPr>
        <w:spacing w:line="460" w:lineRule="exact"/>
        <w:ind w:firstLine="480"/>
        <w:rPr>
          <w:rFonts w:hint="eastAsia" w:ascii="黑体" w:hAnsi="黑体" w:eastAsia="黑体" w:cs="黑体"/>
          <w:b/>
          <w:color w:val="auto"/>
          <w:kern w:val="2"/>
          <w:sz w:val="24"/>
          <w:szCs w:val="24"/>
          <w:highlight w:val="none"/>
          <w:lang w:val="en-US" w:eastAsia="zh-CN" w:bidi="ar-SA"/>
        </w:rPr>
      </w:pPr>
      <w:r>
        <w:rPr>
          <w:rFonts w:hint="eastAsia" w:ascii="黑体" w:hAnsi="黑体" w:eastAsia="黑体" w:cs="黑体"/>
          <w:b/>
          <w:color w:val="auto"/>
          <w:kern w:val="2"/>
          <w:sz w:val="24"/>
          <w:szCs w:val="24"/>
          <w:highlight w:val="none"/>
          <w:lang w:val="en-US" w:eastAsia="zh-CN" w:bidi="ar-SA"/>
        </w:rPr>
        <w:t>当排名第一的成交候选人放弃成交、因不可抗力不能履行合同，或者被查实存在影响成交结果的违法行为等情形，不符合成交条件的，采购人可以按照评标委员会提出的成交候选人名单排序依次确定其他成交候选人为成交人，也可以重新招标。</w:t>
      </w:r>
    </w:p>
    <w:p>
      <w:pPr>
        <w:rPr>
          <w:rFonts w:hint="eastAsia" w:ascii="黑体" w:hAnsi="黑体" w:eastAsia="黑体" w:cs="黑体"/>
          <w:b/>
          <w:color w:val="auto"/>
          <w:kern w:val="2"/>
          <w:sz w:val="24"/>
          <w:szCs w:val="24"/>
          <w:highlight w:val="none"/>
          <w:lang w:val="en-US" w:eastAsia="zh-CN" w:bidi="ar-SA"/>
        </w:rPr>
      </w:pPr>
      <w:r>
        <w:rPr>
          <w:rFonts w:hint="eastAsia" w:ascii="黑体" w:hAnsi="黑体" w:eastAsia="黑体" w:cs="黑体"/>
          <w:b/>
          <w:color w:val="auto"/>
          <w:kern w:val="2"/>
          <w:sz w:val="24"/>
          <w:szCs w:val="24"/>
          <w:highlight w:val="none"/>
          <w:lang w:val="en-US" w:eastAsia="zh-CN" w:bidi="ar-SA"/>
        </w:rPr>
        <w:br w:type="page"/>
      </w:r>
    </w:p>
    <w:p>
      <w:pPr>
        <w:pStyle w:val="21"/>
        <w:shd w:val="clear" w:color="auto"/>
        <w:spacing w:beforeAutospacing="1" w:afterAutospacing="1" w:line="400" w:lineRule="exact"/>
        <w:ind w:firstLine="1600" w:firstLineChars="500"/>
        <w:jc w:val="left"/>
        <w:rPr>
          <w:rFonts w:hint="eastAsia" w:ascii="黑体" w:hAnsi="黑体" w:eastAsia="黑体" w:cs="黑体"/>
          <w:color w:val="auto"/>
          <w:sz w:val="24"/>
          <w:szCs w:val="24"/>
          <w:highlight w:val="none"/>
        </w:rPr>
      </w:pPr>
      <w:r>
        <w:rPr>
          <w:rFonts w:hint="eastAsia" w:ascii="黑体" w:hAnsi="黑体" w:eastAsia="黑体" w:cs="黑体"/>
          <w:color w:val="auto"/>
          <w:sz w:val="32"/>
          <w:szCs w:val="32"/>
          <w:highlight w:val="none"/>
        </w:rPr>
        <w:t>第七章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竞争性供应商响应文件组成</w:t>
      </w:r>
    </w:p>
    <w:p>
      <w:pPr>
        <w:pStyle w:val="21"/>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w:t>
      </w:r>
    </w:p>
    <w:p>
      <w:pPr>
        <w:pStyle w:val="29"/>
        <w:shd w:val="clear"/>
        <w:spacing w:line="360" w:lineRule="auto"/>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封面</w:t>
      </w:r>
    </w:p>
    <w:p>
      <w:pPr>
        <w:pStyle w:val="21"/>
        <w:shd w:val="clear"/>
        <w:spacing w:line="360" w:lineRule="auto"/>
        <w:jc w:val="center"/>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竞争性供应商响应文件</w:t>
      </w:r>
    </w:p>
    <w:p>
      <w:pPr>
        <w:pStyle w:val="21"/>
        <w:shd w:val="clear"/>
        <w:spacing w:line="360" w:lineRule="auto"/>
        <w:jc w:val="left"/>
        <w:rPr>
          <w:rFonts w:hint="eastAsia" w:ascii="黑体" w:hAnsi="黑体" w:eastAsia="黑体" w:cs="黑体"/>
          <w:b/>
          <w:bCs/>
          <w:color w:val="auto"/>
          <w:kern w:val="0"/>
          <w:sz w:val="24"/>
          <w:szCs w:val="24"/>
          <w:highlight w:val="none"/>
          <w:lang w:val="en-US" w:eastAsia="zh-CN"/>
        </w:rPr>
      </w:pPr>
      <w:r>
        <w:rPr>
          <w:rFonts w:hint="eastAsia" w:ascii="黑体" w:hAnsi="黑体" w:eastAsia="黑体" w:cs="黑体"/>
          <w:b/>
          <w:bCs/>
          <w:color w:val="auto"/>
          <w:kern w:val="0"/>
          <w:sz w:val="24"/>
          <w:szCs w:val="24"/>
          <w:highlight w:val="none"/>
        </w:rPr>
        <w:t xml:space="preserve"> </w:t>
      </w:r>
      <w:r>
        <w:rPr>
          <w:rFonts w:hint="eastAsia" w:ascii="黑体" w:hAnsi="黑体" w:eastAsia="黑体" w:cs="黑体"/>
          <w:b/>
          <w:bCs/>
          <w:color w:val="auto"/>
          <w:kern w:val="0"/>
          <w:sz w:val="24"/>
          <w:szCs w:val="24"/>
          <w:highlight w:val="none"/>
          <w:lang w:val="en-US" w:eastAsia="zh-CN"/>
        </w:rPr>
        <w:t xml:space="preserve">                           </w:t>
      </w:r>
    </w:p>
    <w:p>
      <w:pPr>
        <w:pStyle w:val="31"/>
        <w:shd w:val="clear"/>
        <w:ind w:firstLine="0"/>
        <w:jc w:val="center"/>
        <w:rPr>
          <w:rFonts w:hint="eastAsia" w:ascii="黑体" w:hAnsi="黑体" w:eastAsia="黑体" w:cs="黑体"/>
          <w:b/>
          <w:bCs/>
          <w:color w:val="auto"/>
          <w:sz w:val="28"/>
          <w:szCs w:val="28"/>
          <w:highlight w:val="none"/>
        </w:rPr>
      </w:pPr>
      <w:r>
        <w:rPr>
          <w:rFonts w:hint="eastAsia" w:ascii="黑体" w:hAnsi="黑体" w:eastAsia="黑体" w:cs="黑体"/>
          <w:color w:val="auto"/>
          <w:sz w:val="28"/>
          <w:szCs w:val="28"/>
          <w:highlight w:val="none"/>
          <w:u w:val="single"/>
        </w:rPr>
        <w:t>资格证明材料包/技术标包/报价标包</w:t>
      </w:r>
    </w:p>
    <w:p>
      <w:pPr>
        <w:pStyle w:val="21"/>
        <w:shd w:val="clear"/>
        <w:spacing w:line="360" w:lineRule="auto"/>
        <w:jc w:val="left"/>
        <w:rPr>
          <w:rFonts w:hint="eastAsia"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 xml:space="preserve"> </w:t>
      </w:r>
    </w:p>
    <w:p>
      <w:pPr>
        <w:pStyle w:val="21"/>
        <w:shd w:val="clear"/>
        <w:spacing w:line="360" w:lineRule="auto"/>
        <w:jc w:val="left"/>
        <w:rPr>
          <w:rFonts w:hint="eastAsia"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 xml:space="preserve"> </w:t>
      </w:r>
    </w:p>
    <w:p>
      <w:pPr>
        <w:pStyle w:val="21"/>
        <w:shd w:val="clear"/>
        <w:spacing w:line="360" w:lineRule="auto"/>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 xml:space="preserve"> </w:t>
      </w:r>
    </w:p>
    <w:p>
      <w:pPr>
        <w:pStyle w:val="22"/>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lang w:val="en-US" w:eastAsia="zh-CN"/>
        </w:rPr>
        <w:t>包件号：</w:t>
      </w:r>
    </w:p>
    <w:p>
      <w:pPr>
        <w:pStyle w:val="21"/>
        <w:shd w:val="clear"/>
        <w:spacing w:line="360" w:lineRule="auto"/>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项目名称：</w:t>
      </w:r>
    </w:p>
    <w:p>
      <w:pPr>
        <w:pStyle w:val="21"/>
        <w:shd w:val="clear"/>
        <w:spacing w:line="360" w:lineRule="auto"/>
        <w:rPr>
          <w:rFonts w:hint="eastAsia" w:ascii="黑体" w:hAnsi="黑体" w:eastAsia="黑体" w:cs="黑体"/>
          <w:b/>
          <w:bCs/>
          <w:color w:val="auto"/>
          <w:sz w:val="28"/>
          <w:szCs w:val="28"/>
          <w:highlight w:val="none"/>
          <w:u w:val="single"/>
        </w:rPr>
      </w:pPr>
      <w:r>
        <w:rPr>
          <w:rFonts w:hint="eastAsia" w:ascii="黑体" w:hAnsi="黑体" w:eastAsia="黑体" w:cs="黑体"/>
          <w:b/>
          <w:bCs/>
          <w:color w:val="auto"/>
          <w:sz w:val="28"/>
          <w:szCs w:val="28"/>
          <w:highlight w:val="none"/>
        </w:rPr>
        <w:t>项目编号：</w:t>
      </w:r>
    </w:p>
    <w:p>
      <w:pPr>
        <w:pStyle w:val="21"/>
        <w:shd w:val="clear"/>
        <w:spacing w:line="360" w:lineRule="auto"/>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磋商供应商名称：</w:t>
      </w:r>
    </w:p>
    <w:p>
      <w:pPr>
        <w:pStyle w:val="21"/>
        <w:shd w:val="clear"/>
        <w:spacing w:line="360" w:lineRule="auto"/>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日期：</w:t>
      </w:r>
    </w:p>
    <w:p>
      <w:pPr>
        <w:pStyle w:val="31"/>
        <w:shd w:val="clear"/>
        <w:ind w:firstLine="0"/>
        <w:rPr>
          <w:rFonts w:hint="eastAsia" w:ascii="黑体" w:hAnsi="黑体" w:eastAsia="黑体" w:cs="黑体"/>
          <w:color w:val="auto"/>
          <w:kern w:val="2"/>
          <w:highlight w:val="none"/>
        </w:rPr>
      </w:pPr>
      <w:r>
        <w:rPr>
          <w:rFonts w:hint="eastAsia" w:ascii="黑体" w:hAnsi="黑体" w:eastAsia="黑体" w:cs="黑体"/>
          <w:color w:val="auto"/>
          <w:kern w:val="2"/>
          <w:highlight w:val="none"/>
        </w:rPr>
        <w:t xml:space="preserve"> </w:t>
      </w:r>
    </w:p>
    <w:p>
      <w:pPr>
        <w:pStyle w:val="31"/>
        <w:shd w:val="clear"/>
        <w:ind w:firstLine="0"/>
        <w:rPr>
          <w:rFonts w:hint="eastAsia" w:ascii="黑体" w:hAnsi="黑体" w:eastAsia="黑体" w:cs="黑体"/>
          <w:color w:val="auto"/>
          <w:kern w:val="2"/>
          <w:highlight w:val="none"/>
        </w:rPr>
      </w:pPr>
      <w:r>
        <w:rPr>
          <w:rFonts w:hint="eastAsia" w:ascii="黑体" w:hAnsi="黑体" w:eastAsia="黑体" w:cs="黑体"/>
          <w:color w:val="auto"/>
          <w:kern w:val="2"/>
          <w:highlight w:val="none"/>
        </w:rPr>
        <w:t xml:space="preserve"> </w:t>
      </w:r>
    </w:p>
    <w:p>
      <w:pPr>
        <w:pStyle w:val="21"/>
        <w:shd w:val="clear"/>
        <w:snapToGrid w:val="0"/>
        <w:spacing w:line="360" w:lineRule="auto"/>
        <w:jc w:val="center"/>
        <w:outlineLvl w:val="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w:t>
      </w:r>
    </w:p>
    <w:p>
      <w:pPr>
        <w:pStyle w:val="21"/>
        <w:shd w:val="clear"/>
        <w:snapToGrid w:val="0"/>
        <w:spacing w:line="360" w:lineRule="auto"/>
        <w:jc w:val="center"/>
        <w:outlineLvl w:val="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w:t>
      </w:r>
    </w:p>
    <w:p>
      <w:pPr>
        <w:pStyle w:val="21"/>
        <w:shd w:val="clear"/>
        <w:snapToGrid w:val="0"/>
        <w:spacing w:line="360" w:lineRule="auto"/>
        <w:jc w:val="center"/>
        <w:outlineLvl w:val="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w:t>
      </w:r>
    </w:p>
    <w:p>
      <w:pPr>
        <w:pStyle w:val="22"/>
        <w:shd w:val="clea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w:t>
      </w:r>
    </w:p>
    <w:p>
      <w:pPr>
        <w:pStyle w:val="21"/>
        <w:shd w:val="clear"/>
        <w:snapToGrid w:val="0"/>
        <w:spacing w:line="360" w:lineRule="auto"/>
        <w:outlineLvl w:val="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 xml:space="preserve"> </w:t>
      </w:r>
    </w:p>
    <w:p>
      <w:pPr>
        <w:pStyle w:val="21"/>
        <w:shd w:val="clear"/>
        <w:snapToGrid w:val="0"/>
        <w:spacing w:line="360" w:lineRule="auto"/>
        <w:outlineLvl w:val="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 xml:space="preserve"> </w:t>
      </w:r>
    </w:p>
    <w:p>
      <w:pPr>
        <w:pStyle w:val="21"/>
        <w:shd w:val="clear"/>
        <w:snapToGrid w:val="0"/>
        <w:spacing w:line="360" w:lineRule="auto"/>
        <w:ind w:firstLine="2240" w:firstLineChars="800"/>
        <w:outlineLvl w:val="0"/>
        <w:rPr>
          <w:rFonts w:hint="eastAsia" w:ascii="黑体" w:hAnsi="黑体" w:eastAsia="黑体" w:cs="黑体"/>
          <w:color w:val="auto"/>
          <w:sz w:val="28"/>
          <w:szCs w:val="28"/>
          <w:highlight w:val="none"/>
        </w:rPr>
      </w:pPr>
    </w:p>
    <w:p>
      <w:pPr>
        <w:pStyle w:val="21"/>
        <w:shd w:val="clear"/>
        <w:snapToGrid w:val="0"/>
        <w:spacing w:line="360" w:lineRule="auto"/>
        <w:ind w:firstLine="2240" w:firstLineChars="800"/>
        <w:outlineLvl w:val="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第一部分</w:t>
      </w:r>
      <w:r>
        <w:rPr>
          <w:rFonts w:hint="eastAsia" w:ascii="黑体" w:hAnsi="黑体" w:eastAsia="黑体" w:cs="黑体"/>
          <w:color w:val="auto"/>
          <w:sz w:val="28"/>
          <w:szCs w:val="28"/>
          <w:highlight w:val="none"/>
          <w:lang w:val="en-US" w:eastAsia="zh-CN"/>
        </w:rPr>
        <w:t xml:space="preserve">  </w:t>
      </w:r>
      <w:r>
        <w:rPr>
          <w:rFonts w:hint="eastAsia" w:ascii="黑体" w:hAnsi="黑体" w:eastAsia="黑体" w:cs="黑体"/>
          <w:color w:val="auto"/>
          <w:sz w:val="28"/>
          <w:szCs w:val="28"/>
          <w:highlight w:val="none"/>
        </w:rPr>
        <w:t>资格审查材料内容</w:t>
      </w:r>
    </w:p>
    <w:p>
      <w:pPr>
        <w:pStyle w:val="21"/>
        <w:shd w:val="clear"/>
        <w:autoSpaceDE w:val="0"/>
        <w:autoSpaceDN w:val="0"/>
        <w:spacing w:line="360" w:lineRule="auto"/>
        <w:jc w:val="center"/>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目录</w:t>
      </w:r>
    </w:p>
    <w:tbl>
      <w:tblPr>
        <w:tblStyle w:val="15"/>
        <w:tblW w:w="9229" w:type="dxa"/>
        <w:jc w:val="center"/>
        <w:tblLayout w:type="fixed"/>
        <w:tblCellMar>
          <w:top w:w="0" w:type="dxa"/>
          <w:left w:w="108" w:type="dxa"/>
          <w:bottom w:w="0" w:type="dxa"/>
          <w:right w:w="108" w:type="dxa"/>
        </w:tblCellMar>
      </w:tblPr>
      <w:tblGrid>
        <w:gridCol w:w="759"/>
        <w:gridCol w:w="6160"/>
        <w:gridCol w:w="2310"/>
      </w:tblGrid>
      <w:tr>
        <w:tblPrEx>
          <w:tblCellMar>
            <w:top w:w="0" w:type="dxa"/>
            <w:left w:w="108" w:type="dxa"/>
            <w:bottom w:w="0" w:type="dxa"/>
            <w:right w:w="108" w:type="dxa"/>
          </w:tblCellMar>
        </w:tblPrEx>
        <w:trPr>
          <w:trHeight w:val="576" w:hRule="atLeast"/>
          <w:jc w:val="center"/>
        </w:trPr>
        <w:tc>
          <w:tcPr>
            <w:tcW w:w="759" w:type="dxa"/>
            <w:tcBorders>
              <w:top w:val="single" w:color="000000" w:sz="4" w:space="0"/>
              <w:left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序号</w:t>
            </w:r>
          </w:p>
        </w:tc>
        <w:tc>
          <w:tcPr>
            <w:tcW w:w="6160" w:type="dxa"/>
            <w:tcBorders>
              <w:top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材料明细</w:t>
            </w:r>
          </w:p>
        </w:tc>
        <w:tc>
          <w:tcPr>
            <w:tcW w:w="2310" w:type="dxa"/>
            <w:tcBorders>
              <w:top w:val="single" w:color="000000" w:sz="4" w:space="0"/>
              <w:bottom w:val="single" w:color="000000" w:sz="4" w:space="0"/>
              <w:right w:val="single" w:color="000000" w:sz="4" w:space="0"/>
            </w:tcBorders>
            <w:vAlign w:val="center"/>
          </w:tcPr>
          <w:p>
            <w:pPr>
              <w:pStyle w:val="21"/>
              <w:shd w:val="clear"/>
              <w:spacing w:line="360" w:lineRule="auto"/>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是否符合（打√）</w:t>
            </w:r>
          </w:p>
        </w:tc>
      </w:tr>
      <w:tr>
        <w:trPr>
          <w:trHeight w:val="725" w:hRule="atLeast"/>
          <w:jc w:val="center"/>
        </w:trPr>
        <w:tc>
          <w:tcPr>
            <w:tcW w:w="759" w:type="dxa"/>
            <w:tcBorders>
              <w:top w:val="single" w:color="000000" w:sz="4" w:space="0"/>
              <w:left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w:t>
            </w:r>
          </w:p>
        </w:tc>
        <w:tc>
          <w:tcPr>
            <w:tcW w:w="6160" w:type="dxa"/>
            <w:tcBorders>
              <w:top w:val="single" w:color="000000" w:sz="4" w:space="0"/>
              <w:bottom w:val="single" w:color="000000" w:sz="4" w:space="0"/>
              <w:right w:val="single" w:color="000000" w:sz="4" w:space="0"/>
            </w:tcBorders>
          </w:tcPr>
          <w:p>
            <w:pPr>
              <w:pStyle w:val="21"/>
              <w:shd w:val="clear"/>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供应商法定代表人参加的，必须提供法定代表人身份证明及法定代表人本人身份证</w:t>
            </w:r>
            <w:r>
              <w:rPr>
                <w:rFonts w:hint="eastAsia" w:ascii="黑体" w:hAnsi="黑体" w:eastAsia="黑体" w:cs="黑体"/>
                <w:color w:val="auto"/>
                <w:kern w:val="0"/>
                <w:sz w:val="24"/>
                <w:szCs w:val="24"/>
                <w:highlight w:val="none"/>
                <w:lang w:eastAsia="zh-CN"/>
              </w:rPr>
              <w:t>原件扫描件</w:t>
            </w:r>
            <w:r>
              <w:rPr>
                <w:rFonts w:hint="eastAsia" w:ascii="黑体" w:hAnsi="黑体" w:eastAsia="黑体" w:cs="黑体"/>
                <w:color w:val="auto"/>
                <w:kern w:val="0"/>
                <w:sz w:val="24"/>
                <w:szCs w:val="24"/>
                <w:highlight w:val="none"/>
              </w:rPr>
              <w:t>（格式参见第七章）；非法定代表人参加的，必须提供法定代表人签字或盖章的授权委托书及法定代表人、被授权人的两人身份证的</w:t>
            </w:r>
            <w:r>
              <w:rPr>
                <w:rFonts w:hint="eastAsia" w:ascii="黑体" w:hAnsi="黑体" w:eastAsia="黑体" w:cs="黑体"/>
                <w:color w:val="auto"/>
                <w:kern w:val="0"/>
                <w:sz w:val="24"/>
                <w:szCs w:val="24"/>
                <w:highlight w:val="none"/>
                <w:lang w:eastAsia="zh-CN"/>
              </w:rPr>
              <w:t>原件扫描件</w:t>
            </w:r>
            <w:r>
              <w:rPr>
                <w:rFonts w:hint="eastAsia" w:ascii="黑体" w:hAnsi="黑体" w:eastAsia="黑体" w:cs="黑体"/>
                <w:color w:val="auto"/>
                <w:kern w:val="0"/>
                <w:sz w:val="24"/>
                <w:szCs w:val="24"/>
                <w:highlight w:val="none"/>
              </w:rPr>
              <w:t>（格式参见第七章）；</w:t>
            </w:r>
          </w:p>
        </w:tc>
        <w:tc>
          <w:tcPr>
            <w:tcW w:w="2310" w:type="dxa"/>
            <w:tcBorders>
              <w:top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color w:val="auto"/>
                <w:kern w:val="0"/>
                <w:sz w:val="24"/>
                <w:szCs w:val="24"/>
                <w:highlight w:val="none"/>
              </w:rPr>
            </w:pPr>
          </w:p>
        </w:tc>
      </w:tr>
      <w:tr>
        <w:tblPrEx>
          <w:tblCellMar>
            <w:top w:w="0" w:type="dxa"/>
            <w:left w:w="108" w:type="dxa"/>
            <w:bottom w:w="0" w:type="dxa"/>
            <w:right w:w="108" w:type="dxa"/>
          </w:tblCellMar>
        </w:tblPrEx>
        <w:trPr>
          <w:trHeight w:val="90" w:hRule="atLeast"/>
          <w:jc w:val="center"/>
        </w:trPr>
        <w:tc>
          <w:tcPr>
            <w:tcW w:w="759" w:type="dxa"/>
            <w:tcBorders>
              <w:top w:val="single" w:color="000000" w:sz="4" w:space="0"/>
              <w:left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w:t>
            </w:r>
          </w:p>
        </w:tc>
        <w:tc>
          <w:tcPr>
            <w:tcW w:w="6160" w:type="dxa"/>
            <w:tcBorders>
              <w:top w:val="single" w:color="000000" w:sz="4" w:space="0"/>
              <w:bottom w:val="single" w:color="000000" w:sz="4" w:space="0"/>
              <w:right w:val="single" w:color="000000" w:sz="4" w:space="0"/>
            </w:tcBorders>
          </w:tcPr>
          <w:p>
            <w:pPr>
              <w:pStyle w:val="21"/>
              <w:shd w:val="clear"/>
              <w:jc w:val="left"/>
              <w:rPr>
                <w:rFonts w:hint="eastAsia" w:ascii="黑体" w:hAnsi="黑体" w:eastAsia="黑体" w:cs="黑体"/>
                <w:color w:val="auto"/>
                <w:sz w:val="24"/>
                <w:szCs w:val="24"/>
                <w:highlight w:val="none"/>
              </w:rPr>
            </w:pPr>
            <w:r>
              <w:rPr>
                <w:rFonts w:hint="eastAsia" w:ascii="黑体" w:hAnsi="黑体" w:eastAsia="黑体" w:cs="黑体"/>
                <w:bCs/>
                <w:color w:val="auto"/>
                <w:sz w:val="24"/>
                <w:szCs w:val="24"/>
                <w:highlight w:val="none"/>
              </w:rPr>
              <w:t>法人或者其他组织的营业执照等证明文件，自然人的身份证明</w:t>
            </w:r>
          </w:p>
        </w:tc>
        <w:tc>
          <w:tcPr>
            <w:tcW w:w="2310" w:type="dxa"/>
            <w:tcBorders>
              <w:top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color w:val="auto"/>
                <w:kern w:val="0"/>
                <w:sz w:val="24"/>
                <w:szCs w:val="24"/>
                <w:highlight w:val="none"/>
              </w:rPr>
            </w:pPr>
          </w:p>
        </w:tc>
      </w:tr>
      <w:tr>
        <w:tblPrEx>
          <w:tblCellMar>
            <w:top w:w="0" w:type="dxa"/>
            <w:left w:w="108" w:type="dxa"/>
            <w:bottom w:w="0" w:type="dxa"/>
            <w:right w:w="108" w:type="dxa"/>
          </w:tblCellMar>
        </w:tblPrEx>
        <w:trPr>
          <w:trHeight w:val="455" w:hRule="atLeast"/>
          <w:jc w:val="center"/>
        </w:trPr>
        <w:tc>
          <w:tcPr>
            <w:tcW w:w="759" w:type="dxa"/>
            <w:tcBorders>
              <w:top w:val="single" w:color="000000" w:sz="4" w:space="0"/>
              <w:left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w:t>
            </w:r>
          </w:p>
        </w:tc>
        <w:tc>
          <w:tcPr>
            <w:tcW w:w="6160" w:type="dxa"/>
            <w:tcBorders>
              <w:top w:val="single" w:color="000000" w:sz="4" w:space="0"/>
              <w:bottom w:val="single" w:color="000000" w:sz="4" w:space="0"/>
              <w:right w:val="single" w:color="000000" w:sz="4" w:space="0"/>
            </w:tcBorders>
          </w:tcPr>
          <w:p>
            <w:pPr>
              <w:pStyle w:val="21"/>
              <w:shd w:val="clear"/>
              <w:snapToGrid w:val="0"/>
              <w:spacing w:line="320" w:lineRule="exact"/>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响应供应商未被“信用中国”网站（www.creditchina.gov.cn）、中国政府采购网（www.ccgp.gov.cn）、国家企业信用信息公示系统（www.gsxt.gov.cn）列入失信被执行人、重大税收违法案件当事人名单、政府采购严重违法失信行为记录名单、异常经营名录、严重违法失信企业名单；为确保政府采购守法供应商公平参加政府采购活动，采购代理机构将在开标开始后一个小时内，通过“信用中国”网站和中国政府采购网和国家企业信用信息公示系统对供应商信用信息进行查询查证，并将查询记录截屏打印保存在采购档案内。如核实未通过，经磋商小组确认后资格审查不予通过。</w:t>
            </w:r>
          </w:p>
        </w:tc>
        <w:tc>
          <w:tcPr>
            <w:tcW w:w="2310" w:type="dxa"/>
            <w:tcBorders>
              <w:top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color w:val="auto"/>
                <w:kern w:val="0"/>
                <w:sz w:val="24"/>
                <w:szCs w:val="24"/>
                <w:highlight w:val="none"/>
              </w:rPr>
            </w:pPr>
          </w:p>
        </w:tc>
      </w:tr>
      <w:tr>
        <w:tblPrEx>
          <w:tblCellMar>
            <w:top w:w="0" w:type="dxa"/>
            <w:left w:w="108" w:type="dxa"/>
            <w:bottom w:w="0" w:type="dxa"/>
            <w:right w:w="108" w:type="dxa"/>
          </w:tblCellMar>
        </w:tblPrEx>
        <w:trPr>
          <w:trHeight w:val="455" w:hRule="atLeast"/>
          <w:jc w:val="center"/>
        </w:trPr>
        <w:tc>
          <w:tcPr>
            <w:tcW w:w="759" w:type="dxa"/>
            <w:tcBorders>
              <w:top w:val="single" w:color="000000" w:sz="4" w:space="0"/>
              <w:left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4</w:t>
            </w:r>
          </w:p>
        </w:tc>
        <w:tc>
          <w:tcPr>
            <w:tcW w:w="6160" w:type="dxa"/>
            <w:tcBorders>
              <w:top w:val="single" w:color="000000" w:sz="4" w:space="0"/>
              <w:bottom w:val="single" w:color="000000" w:sz="4" w:space="0"/>
              <w:right w:val="single" w:color="000000" w:sz="4" w:space="0"/>
            </w:tcBorders>
            <w:vAlign w:val="center"/>
          </w:tcPr>
          <w:p>
            <w:pPr>
              <w:shd w:val="clear"/>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响应供应商符合《政府采购法》第二十二条规定条件的声明函（按后附格式）；</w:t>
            </w:r>
          </w:p>
        </w:tc>
        <w:tc>
          <w:tcPr>
            <w:tcW w:w="2310" w:type="dxa"/>
            <w:tcBorders>
              <w:top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color w:val="auto"/>
                <w:kern w:val="0"/>
                <w:sz w:val="24"/>
                <w:szCs w:val="24"/>
                <w:highlight w:val="none"/>
              </w:rPr>
            </w:pPr>
          </w:p>
        </w:tc>
      </w:tr>
      <w:tr>
        <w:tblPrEx>
          <w:tblCellMar>
            <w:top w:w="0" w:type="dxa"/>
            <w:left w:w="108" w:type="dxa"/>
            <w:bottom w:w="0" w:type="dxa"/>
            <w:right w:w="108" w:type="dxa"/>
          </w:tblCellMar>
        </w:tblPrEx>
        <w:trPr>
          <w:trHeight w:val="455" w:hRule="atLeast"/>
          <w:jc w:val="center"/>
        </w:trPr>
        <w:tc>
          <w:tcPr>
            <w:tcW w:w="759" w:type="dxa"/>
            <w:tcBorders>
              <w:top w:val="single" w:color="000000" w:sz="4" w:space="0"/>
              <w:left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5</w:t>
            </w:r>
          </w:p>
        </w:tc>
        <w:tc>
          <w:tcPr>
            <w:tcW w:w="6160" w:type="dxa"/>
            <w:tcBorders>
              <w:top w:val="single" w:color="000000" w:sz="4" w:space="0"/>
              <w:bottom w:val="single" w:color="000000" w:sz="4" w:space="0"/>
              <w:right w:val="single" w:color="000000" w:sz="4" w:space="0"/>
            </w:tcBorders>
          </w:tcPr>
          <w:p>
            <w:pPr>
              <w:pStyle w:val="21"/>
              <w:shd w:val="clear"/>
              <w:snapToGrid w:val="0"/>
              <w:spacing w:line="320" w:lineRule="exact"/>
              <w:jc w:val="lef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投标人必须经过国家司法行政主管部门合法登记注册且持有经年检合格的律师事务所执业许可证（提供合法登记注册文件及最近一年年检合格的执业许可证书原件扫描件并加盖投标人公章），且依法有效存续，总部或分支机构在南通，分所投标还须提供总所的授权书（加盖总所公章）；</w:t>
            </w:r>
          </w:p>
        </w:tc>
        <w:tc>
          <w:tcPr>
            <w:tcW w:w="2310" w:type="dxa"/>
            <w:tcBorders>
              <w:top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color w:val="auto"/>
                <w:kern w:val="0"/>
                <w:sz w:val="24"/>
                <w:szCs w:val="24"/>
                <w:highlight w:val="none"/>
              </w:rPr>
            </w:pPr>
          </w:p>
        </w:tc>
      </w:tr>
      <w:tr>
        <w:trPr>
          <w:trHeight w:val="455" w:hRule="atLeast"/>
          <w:jc w:val="center"/>
        </w:trPr>
        <w:tc>
          <w:tcPr>
            <w:tcW w:w="759" w:type="dxa"/>
            <w:tcBorders>
              <w:top w:val="single" w:color="000000" w:sz="4" w:space="0"/>
              <w:left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lang w:val="en-US" w:eastAsia="zh-CN"/>
              </w:rPr>
              <w:t>6</w:t>
            </w:r>
          </w:p>
        </w:tc>
        <w:tc>
          <w:tcPr>
            <w:tcW w:w="6160" w:type="dxa"/>
            <w:tcBorders>
              <w:top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投标人同时</w:t>
            </w:r>
            <w:r>
              <w:rPr>
                <w:rFonts w:hint="default" w:ascii="黑体" w:hAnsi="黑体" w:eastAsia="黑体" w:cs="黑体"/>
                <w:color w:val="auto"/>
                <w:kern w:val="2"/>
                <w:sz w:val="24"/>
                <w:szCs w:val="24"/>
                <w:highlight w:val="none"/>
                <w:lang w:val="en-US" w:eastAsia="zh-CN" w:bidi="ar-SA"/>
              </w:rPr>
              <w:t>具有一定规模的办公场所和完备的硬件设施，且执业律师人数不少于10人</w:t>
            </w:r>
            <w:r>
              <w:rPr>
                <w:rFonts w:hint="eastAsia" w:ascii="黑体" w:hAnsi="黑体" w:eastAsia="黑体" w:cs="黑体"/>
                <w:color w:val="auto"/>
                <w:kern w:val="2"/>
                <w:sz w:val="24"/>
                <w:szCs w:val="24"/>
                <w:highlight w:val="none"/>
                <w:lang w:val="en-US" w:eastAsia="zh-CN" w:bidi="ar-SA"/>
              </w:rPr>
              <w:t>（提供响应以上要求的承诺书，格式自拟）</w:t>
            </w:r>
            <w:r>
              <w:rPr>
                <w:rFonts w:hint="default" w:ascii="黑体" w:hAnsi="黑体" w:eastAsia="黑体" w:cs="黑体"/>
                <w:color w:val="auto"/>
                <w:kern w:val="2"/>
                <w:sz w:val="24"/>
                <w:szCs w:val="24"/>
                <w:highlight w:val="none"/>
                <w:lang w:val="en-US" w:eastAsia="zh-CN" w:bidi="ar-SA"/>
              </w:rPr>
              <w:t>；</w:t>
            </w:r>
          </w:p>
        </w:tc>
        <w:tc>
          <w:tcPr>
            <w:tcW w:w="2310" w:type="dxa"/>
            <w:tcBorders>
              <w:top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color w:val="auto"/>
                <w:kern w:val="0"/>
                <w:sz w:val="24"/>
                <w:szCs w:val="24"/>
                <w:highlight w:val="none"/>
              </w:rPr>
            </w:pPr>
          </w:p>
        </w:tc>
      </w:tr>
      <w:tr>
        <w:trPr>
          <w:trHeight w:val="455" w:hRule="atLeast"/>
          <w:jc w:val="center"/>
        </w:trPr>
        <w:tc>
          <w:tcPr>
            <w:tcW w:w="759" w:type="dxa"/>
            <w:tcBorders>
              <w:top w:val="single" w:color="000000" w:sz="4" w:space="0"/>
              <w:left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lang w:val="en-US" w:eastAsia="zh-CN"/>
              </w:rPr>
              <w:t>7</w:t>
            </w:r>
          </w:p>
        </w:tc>
        <w:tc>
          <w:tcPr>
            <w:tcW w:w="6160" w:type="dxa"/>
            <w:tcBorders>
              <w:top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黑体" w:hAnsi="黑体" w:eastAsia="黑体" w:cs="黑体"/>
                <w:color w:val="auto"/>
                <w:kern w:val="2"/>
                <w:sz w:val="24"/>
                <w:szCs w:val="24"/>
                <w:highlight w:val="none"/>
                <w:lang w:val="en-US" w:eastAsia="zh-CN" w:bidi="ar-SA"/>
              </w:rPr>
            </w:pPr>
            <w:r>
              <w:rPr>
                <w:rFonts w:hint="default" w:ascii="黑体" w:hAnsi="黑体" w:eastAsia="黑体" w:cs="黑体"/>
                <w:color w:val="auto"/>
                <w:kern w:val="2"/>
                <w:sz w:val="24"/>
                <w:szCs w:val="24"/>
                <w:highlight w:val="none"/>
                <w:lang w:val="en-US" w:eastAsia="zh-CN" w:bidi="ar-SA"/>
              </w:rPr>
              <w:t>投标人</w:t>
            </w:r>
            <w:r>
              <w:rPr>
                <w:rFonts w:hint="eastAsia" w:ascii="黑体" w:hAnsi="黑体" w:eastAsia="黑体" w:cs="黑体"/>
                <w:color w:val="auto"/>
                <w:kern w:val="2"/>
                <w:sz w:val="24"/>
                <w:szCs w:val="24"/>
                <w:highlight w:val="none"/>
                <w:lang w:val="en-US" w:eastAsia="zh-CN" w:bidi="ar-SA"/>
              </w:rPr>
              <w:t>拟派</w:t>
            </w:r>
            <w:r>
              <w:rPr>
                <w:rFonts w:hint="default" w:ascii="黑体" w:hAnsi="黑体" w:eastAsia="黑体" w:cs="黑体"/>
                <w:color w:val="auto"/>
                <w:kern w:val="2"/>
                <w:sz w:val="24"/>
                <w:szCs w:val="24"/>
                <w:highlight w:val="none"/>
                <w:lang w:val="en-US" w:eastAsia="zh-CN" w:bidi="ar-SA"/>
              </w:rPr>
              <w:t>的常年法律顾问服务团队不少于2人，团队成员均为专职律师。其中法律顾问服务团队的主办律师执业年限为</w:t>
            </w:r>
            <w:r>
              <w:rPr>
                <w:rFonts w:hint="eastAsia" w:ascii="黑体" w:hAnsi="黑体" w:eastAsia="黑体" w:cs="黑体"/>
                <w:color w:val="auto"/>
                <w:kern w:val="2"/>
                <w:sz w:val="24"/>
                <w:szCs w:val="24"/>
                <w:highlight w:val="none"/>
                <w:lang w:val="en-US" w:eastAsia="zh-CN" w:bidi="ar-SA"/>
              </w:rPr>
              <w:t>5</w:t>
            </w:r>
            <w:r>
              <w:rPr>
                <w:rFonts w:hint="default" w:ascii="黑体" w:hAnsi="黑体" w:eastAsia="黑体" w:cs="黑体"/>
                <w:color w:val="auto"/>
                <w:kern w:val="2"/>
                <w:sz w:val="24"/>
                <w:szCs w:val="24"/>
                <w:highlight w:val="none"/>
                <w:lang w:val="en-US" w:eastAsia="zh-CN" w:bidi="ar-SA"/>
              </w:rPr>
              <w:t>年以上</w:t>
            </w:r>
            <w:r>
              <w:rPr>
                <w:rFonts w:hint="eastAsia" w:ascii="黑体" w:hAnsi="黑体" w:eastAsia="黑体" w:cs="黑体"/>
                <w:color w:val="auto"/>
                <w:kern w:val="2"/>
                <w:sz w:val="24"/>
                <w:szCs w:val="24"/>
                <w:highlight w:val="none"/>
                <w:lang w:val="en-US" w:eastAsia="zh-CN" w:bidi="ar-SA"/>
              </w:rPr>
              <w:t>；</w:t>
            </w:r>
            <w:r>
              <w:rPr>
                <w:rFonts w:hint="default" w:ascii="黑体" w:hAnsi="黑体" w:eastAsia="黑体" w:cs="黑体"/>
                <w:color w:val="auto"/>
                <w:kern w:val="2"/>
                <w:sz w:val="24"/>
                <w:szCs w:val="24"/>
                <w:highlight w:val="none"/>
                <w:lang w:val="en-US" w:eastAsia="zh-CN" w:bidi="ar-SA"/>
              </w:rPr>
              <w:t>主办律师应具有较为丰富的经验</w:t>
            </w:r>
            <w:r>
              <w:rPr>
                <w:rFonts w:hint="eastAsia" w:ascii="黑体" w:hAnsi="黑体" w:eastAsia="黑体" w:cs="黑体"/>
                <w:color w:val="auto"/>
                <w:kern w:val="2"/>
                <w:sz w:val="24"/>
                <w:szCs w:val="24"/>
                <w:highlight w:val="none"/>
                <w:lang w:val="en-US" w:eastAsia="zh-CN" w:bidi="ar-SA"/>
              </w:rPr>
              <w:t>，</w:t>
            </w:r>
            <w:r>
              <w:rPr>
                <w:rFonts w:hint="default" w:ascii="黑体" w:hAnsi="黑体" w:eastAsia="黑体" w:cs="黑体"/>
                <w:color w:val="auto"/>
                <w:kern w:val="2"/>
                <w:sz w:val="24"/>
                <w:szCs w:val="24"/>
                <w:highlight w:val="none"/>
                <w:lang w:val="en-US" w:eastAsia="zh-CN" w:bidi="ar-SA"/>
              </w:rPr>
              <w:t>同等条件下，有为工会、党委、政府或企业服务经验。</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以上提供所有拟派律师的律师证书、主办律师除提供律师证书外，还需提供简历以及参与类似本项目案件的业绩证明材料。</w:t>
            </w:r>
          </w:p>
        </w:tc>
        <w:tc>
          <w:tcPr>
            <w:tcW w:w="2310" w:type="dxa"/>
            <w:tcBorders>
              <w:top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color w:val="auto"/>
                <w:kern w:val="0"/>
                <w:sz w:val="24"/>
                <w:szCs w:val="24"/>
                <w:highlight w:val="none"/>
              </w:rPr>
            </w:pPr>
          </w:p>
        </w:tc>
      </w:tr>
      <w:tr>
        <w:tblPrEx>
          <w:tblCellMar>
            <w:top w:w="0" w:type="dxa"/>
            <w:left w:w="108" w:type="dxa"/>
            <w:bottom w:w="0" w:type="dxa"/>
            <w:right w:w="108" w:type="dxa"/>
          </w:tblCellMar>
        </w:tblPrEx>
        <w:trPr>
          <w:trHeight w:val="191" w:hRule="atLeast"/>
          <w:jc w:val="center"/>
        </w:trPr>
        <w:tc>
          <w:tcPr>
            <w:tcW w:w="759" w:type="dxa"/>
            <w:tcBorders>
              <w:top w:val="single" w:color="000000" w:sz="4" w:space="0"/>
              <w:left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color w:val="auto"/>
                <w:kern w:val="0"/>
                <w:sz w:val="24"/>
                <w:szCs w:val="24"/>
                <w:highlight w:val="none"/>
                <w:lang w:eastAsia="zh-CN"/>
              </w:rPr>
            </w:pPr>
            <w:r>
              <w:rPr>
                <w:rFonts w:hint="eastAsia" w:ascii="黑体" w:hAnsi="黑体" w:eastAsia="黑体" w:cs="黑体"/>
                <w:color w:val="auto"/>
                <w:kern w:val="0"/>
                <w:sz w:val="24"/>
                <w:szCs w:val="24"/>
                <w:highlight w:val="none"/>
                <w:lang w:val="en-US" w:eastAsia="zh-CN"/>
              </w:rPr>
              <w:t>8</w:t>
            </w:r>
          </w:p>
        </w:tc>
        <w:tc>
          <w:tcPr>
            <w:tcW w:w="6160" w:type="dxa"/>
            <w:tcBorders>
              <w:top w:val="single" w:color="000000" w:sz="4" w:space="0"/>
              <w:bottom w:val="single" w:color="000000" w:sz="4" w:space="0"/>
              <w:right w:val="single" w:color="000000" w:sz="4" w:space="0"/>
            </w:tcBorders>
          </w:tcPr>
          <w:p>
            <w:pPr>
              <w:pStyle w:val="21"/>
              <w:shd w:val="clear"/>
              <w:jc w:val="left"/>
              <w:rPr>
                <w:rFonts w:hint="eastAsia" w:ascii="黑体" w:hAnsi="黑体" w:eastAsia="黑体" w:cs="黑体"/>
                <w:color w:val="auto"/>
                <w:kern w:val="0"/>
                <w:sz w:val="24"/>
                <w:szCs w:val="24"/>
                <w:highlight w:val="none"/>
              </w:rPr>
            </w:pPr>
            <w:r>
              <w:rPr>
                <w:rFonts w:hint="eastAsia" w:ascii="黑体" w:hAnsi="黑体" w:eastAsia="黑体" w:cs="黑体"/>
                <w:color w:val="auto"/>
                <w:sz w:val="24"/>
                <w:szCs w:val="24"/>
                <w:highlight w:val="none"/>
              </w:rPr>
              <w:t>磋商供应商认为其他必要的材料</w:t>
            </w:r>
          </w:p>
        </w:tc>
        <w:tc>
          <w:tcPr>
            <w:tcW w:w="2310" w:type="dxa"/>
            <w:tcBorders>
              <w:top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color w:val="auto"/>
                <w:kern w:val="0"/>
                <w:sz w:val="24"/>
                <w:szCs w:val="24"/>
                <w:highlight w:val="none"/>
              </w:rPr>
            </w:pPr>
          </w:p>
        </w:tc>
      </w:tr>
    </w:tbl>
    <w:p>
      <w:pPr>
        <w:pStyle w:val="21"/>
        <w:shd w:val="clear"/>
        <w:autoSpaceDE w:val="0"/>
        <w:autoSpaceDN w:val="0"/>
        <w:spacing w:line="360" w:lineRule="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法定代表人或其委托人签字：</w:t>
      </w:r>
    </w:p>
    <w:p>
      <w:pPr>
        <w:pStyle w:val="21"/>
        <w:shd w:val="clear"/>
        <w:autoSpaceDE w:val="0"/>
        <w:autoSpaceDN w:val="0"/>
        <w:spacing w:line="360" w:lineRule="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磋商供应商盖章：</w:t>
      </w:r>
    </w:p>
    <w:p>
      <w:pPr>
        <w:pStyle w:val="21"/>
        <w:shd w:val="clear"/>
        <w:autoSpaceDE w:val="0"/>
        <w:autoSpaceDN w:val="0"/>
        <w:spacing w:line="360" w:lineRule="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注：以上表格由磋商供应商填写。</w:t>
      </w:r>
    </w:p>
    <w:p>
      <w:pPr>
        <w:pStyle w:val="22"/>
        <w:shd w:val="clear"/>
        <w:rPr>
          <w:rFonts w:hint="eastAsia" w:ascii="黑体" w:hAnsi="黑体" w:eastAsia="黑体" w:cs="黑体"/>
          <w:color w:val="auto"/>
          <w:highlight w:val="none"/>
        </w:rPr>
      </w:pPr>
      <w:r>
        <w:rPr>
          <w:rFonts w:hint="eastAsia" w:ascii="黑体" w:hAnsi="黑体" w:eastAsia="黑体" w:cs="黑体"/>
          <w:color w:val="auto"/>
          <w:highlight w:val="none"/>
        </w:rPr>
        <w:t xml:space="preserve"> </w:t>
      </w:r>
    </w:p>
    <w:p>
      <w:pPr>
        <w:pStyle w:val="21"/>
        <w:shd w:val="clear"/>
        <w:rPr>
          <w:rFonts w:hint="eastAsia" w:ascii="黑体" w:hAnsi="黑体" w:eastAsia="黑体" w:cs="黑体"/>
          <w:b/>
          <w:bCs/>
          <w:color w:val="auto"/>
          <w:sz w:val="28"/>
          <w:szCs w:val="28"/>
          <w:highlight w:val="none"/>
        </w:rPr>
      </w:pPr>
      <w:r>
        <w:rPr>
          <w:rFonts w:hint="eastAsia" w:ascii="黑体" w:hAnsi="黑体" w:eastAsia="黑体" w:cs="黑体"/>
          <w:color w:val="auto"/>
          <w:highlight w:val="none"/>
        </w:rPr>
        <w:br w:type="page"/>
      </w:r>
    </w:p>
    <w:p>
      <w:pPr>
        <w:pStyle w:val="21"/>
        <w:shd w:val="clear"/>
        <w:snapToGrid w:val="0"/>
        <w:spacing w:line="360" w:lineRule="auto"/>
        <w:jc w:val="center"/>
        <w:outlineLvl w:val="4"/>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1、法定代表人身份证明</w:t>
      </w:r>
    </w:p>
    <w:p>
      <w:pPr>
        <w:pStyle w:val="21"/>
        <w:shd w:val="clear"/>
        <w:snapToGrid w:val="0"/>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w:t>
      </w:r>
    </w:p>
    <w:p>
      <w:pPr>
        <w:pStyle w:val="21"/>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u w:val="single"/>
        </w:rPr>
        <w:t>（采购人）</w:t>
      </w:r>
      <w:r>
        <w:rPr>
          <w:rFonts w:hint="eastAsia" w:ascii="黑体" w:hAnsi="黑体" w:eastAsia="黑体" w:cs="黑体"/>
          <w:color w:val="auto"/>
          <w:sz w:val="24"/>
          <w:szCs w:val="24"/>
          <w:highlight w:val="none"/>
        </w:rPr>
        <w:t>：</w:t>
      </w:r>
    </w:p>
    <w:p>
      <w:pPr>
        <w:pStyle w:val="21"/>
        <w:shd w:val="clear"/>
        <w:snapToGrid w:val="0"/>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我公司法定代表人参加贵单位组织的</w:t>
      </w:r>
      <w:r>
        <w:rPr>
          <w:rFonts w:hint="eastAsia" w:ascii="黑体" w:hAnsi="黑体" w:eastAsia="黑体" w:cs="黑体"/>
          <w:color w:val="auto"/>
          <w:sz w:val="24"/>
          <w:szCs w:val="24"/>
          <w:highlight w:val="none"/>
          <w:u w:val="single"/>
        </w:rPr>
        <w:t>（采购项目名称及项目编号</w:t>
      </w:r>
      <w:r>
        <w:rPr>
          <w:rFonts w:hint="eastAsia" w:ascii="黑体" w:hAnsi="黑体" w:eastAsia="黑体" w:cs="黑体"/>
          <w:color w:val="auto"/>
          <w:sz w:val="24"/>
          <w:szCs w:val="24"/>
          <w:highlight w:val="none"/>
          <w:u w:val="single"/>
          <w:lang w:eastAsia="zh-CN"/>
        </w:rPr>
        <w:t>）</w:t>
      </w:r>
      <w:r>
        <w:rPr>
          <w:rFonts w:hint="eastAsia" w:ascii="黑体" w:hAnsi="黑体" w:eastAsia="黑体" w:cs="黑体"/>
          <w:color w:val="auto"/>
          <w:sz w:val="24"/>
          <w:szCs w:val="24"/>
          <w:highlight w:val="none"/>
        </w:rPr>
        <w:t>项目公开招标采购活动，全权代表我公司处理投标的有关事宜。</w:t>
      </w:r>
    </w:p>
    <w:p>
      <w:pPr>
        <w:pStyle w:val="21"/>
        <w:shd w:val="clear"/>
        <w:snapToGrid w:val="0"/>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附：法定代表人情况：</w:t>
      </w:r>
    </w:p>
    <w:p>
      <w:pPr>
        <w:pStyle w:val="21"/>
        <w:shd w:val="clear"/>
        <w:snapToGrid w:val="0"/>
        <w:spacing w:line="360" w:lineRule="auto"/>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姓名：性别：年龄：职务：</w:t>
      </w:r>
    </w:p>
    <w:p>
      <w:pPr>
        <w:pStyle w:val="21"/>
        <w:shd w:val="clear"/>
        <w:snapToGrid w:val="0"/>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身份证号码：</w:t>
      </w:r>
    </w:p>
    <w:p>
      <w:pPr>
        <w:pStyle w:val="21"/>
        <w:shd w:val="clear"/>
        <w:snapToGrid w:val="0"/>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手机：传真：</w:t>
      </w:r>
    </w:p>
    <w:p>
      <w:pPr>
        <w:pStyle w:val="21"/>
        <w:shd w:val="clear"/>
        <w:snapToGrid w:val="0"/>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w:t>
      </w:r>
    </w:p>
    <w:p>
      <w:pPr>
        <w:pStyle w:val="21"/>
        <w:shd w:val="clear"/>
        <w:snapToGrid w:val="0"/>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单位名称（公章）法定代表人（签字）</w:t>
      </w:r>
    </w:p>
    <w:p>
      <w:pPr>
        <w:pStyle w:val="21"/>
        <w:shd w:val="clear"/>
        <w:snapToGrid w:val="0"/>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年月日年月日</w:t>
      </w:r>
    </w:p>
    <w:p>
      <w:pPr>
        <w:pStyle w:val="21"/>
        <w:shd w:val="clear"/>
        <w:snapToGrid w:val="0"/>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w:t>
      </w:r>
    </w:p>
    <w:p>
      <w:pPr>
        <w:pStyle w:val="21"/>
        <w:shd w:val="clear"/>
        <w:snapToGrid w:val="0"/>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w:t>
      </w:r>
    </w:p>
    <w:p>
      <w:pPr>
        <w:pStyle w:val="21"/>
        <w:shd w:val="clear"/>
        <w:snapToGrid w:val="0"/>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w:t>
      </w:r>
    </w:p>
    <w:p>
      <w:pPr>
        <w:pStyle w:val="21"/>
        <w:shd w:val="clear"/>
        <w:snapToGrid w:val="0"/>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法定代表人身份证</w:t>
      </w:r>
      <w:r>
        <w:rPr>
          <w:rFonts w:hint="eastAsia" w:ascii="黑体" w:hAnsi="黑体" w:eastAsia="黑体" w:cs="黑体"/>
          <w:color w:val="auto"/>
          <w:sz w:val="24"/>
          <w:szCs w:val="24"/>
          <w:highlight w:val="none"/>
          <w:lang w:eastAsia="zh-CN"/>
        </w:rPr>
        <w:t>原件扫描件</w:t>
      </w:r>
      <w:r>
        <w:rPr>
          <w:rFonts w:hint="eastAsia" w:ascii="黑体" w:hAnsi="黑体" w:eastAsia="黑体" w:cs="黑体"/>
          <w:color w:val="auto"/>
          <w:sz w:val="24"/>
          <w:szCs w:val="24"/>
          <w:highlight w:val="none"/>
        </w:rPr>
        <w:t>正反两面</w:t>
      </w:r>
    </w:p>
    <w:p>
      <w:pPr>
        <w:pStyle w:val="21"/>
        <w:shd w:val="clear"/>
        <w:snapToGrid w:val="0"/>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w:t>
      </w:r>
    </w:p>
    <w:p>
      <w:pPr>
        <w:pStyle w:val="21"/>
        <w:shd w:val="clear"/>
        <w:snapToGrid w:val="0"/>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（粘贴此处）</w:t>
      </w:r>
    </w:p>
    <w:p>
      <w:pPr>
        <w:pStyle w:val="21"/>
        <w:shd w:val="clear"/>
        <w:snapToGrid w:val="0"/>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w:t>
      </w:r>
    </w:p>
    <w:p>
      <w:pPr>
        <w:pStyle w:val="21"/>
        <w:shd w:val="clear"/>
        <w:snapToGrid w:val="0"/>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w:t>
      </w:r>
    </w:p>
    <w:p>
      <w:pPr>
        <w:pStyle w:val="21"/>
        <w:shd w:val="clear"/>
        <w:snapToGrid w:val="0"/>
        <w:spacing w:line="360" w:lineRule="auto"/>
        <w:jc w:val="center"/>
        <w:outlineLvl w:val="4"/>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 xml:space="preserve"> </w:t>
      </w:r>
    </w:p>
    <w:p>
      <w:pPr>
        <w:pStyle w:val="21"/>
        <w:shd w:val="clear"/>
        <w:snapToGrid w:val="0"/>
        <w:spacing w:line="360" w:lineRule="auto"/>
        <w:rPr>
          <w:rFonts w:hint="eastAsia" w:ascii="黑体" w:hAnsi="黑体" w:eastAsia="黑体" w:cs="黑体"/>
          <w:b/>
          <w:bCs/>
          <w:color w:val="auto"/>
          <w:sz w:val="23"/>
          <w:szCs w:val="23"/>
          <w:highlight w:val="none"/>
        </w:rPr>
      </w:pPr>
      <w:r>
        <w:rPr>
          <w:rFonts w:hint="eastAsia" w:ascii="黑体" w:hAnsi="黑体" w:eastAsia="黑体" w:cs="黑体"/>
          <w:b/>
          <w:bCs/>
          <w:color w:val="auto"/>
          <w:sz w:val="23"/>
          <w:szCs w:val="23"/>
          <w:highlight w:val="none"/>
        </w:rPr>
        <w:t>注</w:t>
      </w:r>
      <w:r>
        <w:rPr>
          <w:rFonts w:hint="eastAsia" w:ascii="黑体" w:hAnsi="黑体" w:eastAsia="黑体" w:cs="黑体"/>
          <w:b/>
          <w:bCs/>
          <w:color w:val="auto"/>
          <w:sz w:val="23"/>
          <w:szCs w:val="23"/>
          <w:highlight w:val="none"/>
          <w:lang w:eastAsia="zh-CN"/>
        </w:rPr>
        <w:t>：</w:t>
      </w:r>
      <w:r>
        <w:rPr>
          <w:rFonts w:hint="eastAsia" w:ascii="黑体" w:hAnsi="黑体" w:eastAsia="黑体" w:cs="黑体"/>
          <w:b/>
          <w:bCs/>
          <w:color w:val="auto"/>
          <w:sz w:val="23"/>
          <w:szCs w:val="23"/>
          <w:highlight w:val="none"/>
        </w:rPr>
        <w:t>参加投标时法定代表人将身份证原件带至开标现场备查</w:t>
      </w:r>
    </w:p>
    <w:p>
      <w:pPr>
        <w:pStyle w:val="21"/>
        <w:shd w:val="clear"/>
        <w:snapToGrid w:val="0"/>
        <w:spacing w:line="360" w:lineRule="auto"/>
        <w:jc w:val="center"/>
        <w:outlineLvl w:val="4"/>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 xml:space="preserve"> </w:t>
      </w:r>
    </w:p>
    <w:p>
      <w:pPr>
        <w:pStyle w:val="21"/>
        <w:shd w:val="clear"/>
        <w:snapToGrid w:val="0"/>
        <w:spacing w:line="360" w:lineRule="auto"/>
        <w:jc w:val="center"/>
        <w:outlineLvl w:val="4"/>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 xml:space="preserve"> </w:t>
      </w:r>
    </w:p>
    <w:p>
      <w:pPr>
        <w:pStyle w:val="21"/>
        <w:widowControl/>
        <w:shd w:val="clear"/>
        <w:spacing w:line="360" w:lineRule="auto"/>
        <w:jc w:val="left"/>
        <w:rPr>
          <w:rFonts w:hint="eastAsia" w:ascii="黑体" w:hAnsi="黑体" w:eastAsia="黑体" w:cs="黑体"/>
          <w:b/>
          <w:bCs/>
          <w:color w:val="auto"/>
          <w:sz w:val="24"/>
          <w:szCs w:val="24"/>
          <w:highlight w:val="none"/>
        </w:rPr>
      </w:pPr>
      <w:r>
        <w:rPr>
          <w:rFonts w:hint="eastAsia" w:ascii="黑体" w:hAnsi="黑体" w:eastAsia="黑体" w:cs="黑体"/>
          <w:color w:val="auto"/>
          <w:highlight w:val="none"/>
        </w:rPr>
        <w:br w:type="page"/>
      </w:r>
    </w:p>
    <w:p>
      <w:pPr>
        <w:pStyle w:val="21"/>
        <w:shd w:val="clear"/>
        <w:snapToGrid w:val="0"/>
        <w:spacing w:line="360" w:lineRule="auto"/>
        <w:jc w:val="center"/>
        <w:outlineLvl w:val="4"/>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2、法定代表人授权委托书</w:t>
      </w:r>
    </w:p>
    <w:p>
      <w:pPr>
        <w:shd w:val="clear"/>
        <w:snapToGrid w:val="0"/>
        <w:spacing w:line="360" w:lineRule="auto"/>
        <w:jc w:val="center"/>
        <w:outlineLvl w:val="4"/>
        <w:rPr>
          <w:rFonts w:hint="eastAsia" w:ascii="黑体" w:hAnsi="黑体" w:eastAsia="黑体" w:cs="黑体"/>
          <w:b/>
          <w:bCs/>
          <w:color w:val="auto"/>
          <w:sz w:val="28"/>
          <w:szCs w:val="28"/>
          <w:highlight w:val="none"/>
        </w:rPr>
      </w:pPr>
      <w:r>
        <w:rPr>
          <w:rFonts w:hint="eastAsia" w:ascii="黑体" w:hAnsi="黑体" w:eastAsia="黑体" w:cs="黑体"/>
          <w:bCs/>
          <w:color w:val="auto"/>
          <w:sz w:val="24"/>
          <w:szCs w:val="24"/>
          <w:highlight w:val="none"/>
        </w:rPr>
        <w:t>（如被授权人参加磋商，须出示此证明）</w:t>
      </w:r>
    </w:p>
    <w:p>
      <w:pPr>
        <w:shd w:val="clear"/>
        <w:snapToGrid w:val="0"/>
        <w:spacing w:line="360" w:lineRule="auto"/>
        <w:textAlignment w:val="baseline"/>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u w:val="single" w:color="000000"/>
        </w:rPr>
        <w:t>（采购人）：</w:t>
      </w:r>
    </w:p>
    <w:p>
      <w:pPr>
        <w:shd w:val="clear"/>
        <w:snapToGrid w:val="0"/>
        <w:spacing w:line="360" w:lineRule="auto"/>
        <w:ind w:firstLine="484" w:firstLineChars="202"/>
        <w:textAlignment w:val="baseline"/>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本授权委托书声明：我</w:t>
      </w:r>
      <w:r>
        <w:rPr>
          <w:rFonts w:hint="eastAsia" w:ascii="黑体" w:hAnsi="黑体" w:eastAsia="黑体" w:cs="黑体"/>
          <w:color w:val="auto"/>
          <w:sz w:val="24"/>
          <w:szCs w:val="24"/>
          <w:highlight w:val="none"/>
          <w:u w:val="single" w:color="000000"/>
        </w:rPr>
        <w:t xml:space="preserve">　    </w:t>
      </w:r>
      <w:r>
        <w:rPr>
          <w:rFonts w:hint="eastAsia" w:ascii="黑体" w:hAnsi="黑体" w:eastAsia="黑体" w:cs="黑体"/>
          <w:color w:val="auto"/>
          <w:sz w:val="24"/>
          <w:szCs w:val="24"/>
          <w:highlight w:val="none"/>
        </w:rPr>
        <w:t>（姓名）系</w:t>
      </w:r>
      <w:r>
        <w:rPr>
          <w:rFonts w:hint="eastAsia" w:ascii="黑体" w:hAnsi="黑体" w:eastAsia="黑体" w:cs="黑体"/>
          <w:color w:val="auto"/>
          <w:sz w:val="24"/>
          <w:szCs w:val="24"/>
          <w:highlight w:val="none"/>
          <w:u w:val="single" w:color="000000"/>
        </w:rPr>
        <w:t xml:space="preserve">　            </w:t>
      </w:r>
      <w:r>
        <w:rPr>
          <w:rFonts w:hint="eastAsia" w:ascii="黑体" w:hAnsi="黑体" w:eastAsia="黑体" w:cs="黑体"/>
          <w:color w:val="auto"/>
          <w:sz w:val="24"/>
          <w:szCs w:val="24"/>
          <w:highlight w:val="none"/>
        </w:rPr>
        <w:t>（供应商名称）的法定代表人，现授权委托</w:t>
      </w:r>
      <w:r>
        <w:rPr>
          <w:rFonts w:hint="eastAsia" w:ascii="黑体" w:hAnsi="黑体" w:eastAsia="黑体" w:cs="黑体"/>
          <w:color w:val="auto"/>
          <w:sz w:val="24"/>
          <w:szCs w:val="24"/>
          <w:highlight w:val="none"/>
          <w:u w:val="single" w:color="000000"/>
        </w:rPr>
        <w:t xml:space="preserve">　　     </w:t>
      </w:r>
      <w:r>
        <w:rPr>
          <w:rFonts w:hint="eastAsia" w:ascii="黑体" w:hAnsi="黑体" w:eastAsia="黑体" w:cs="黑体"/>
          <w:color w:val="auto"/>
          <w:sz w:val="24"/>
          <w:szCs w:val="24"/>
          <w:highlight w:val="none"/>
        </w:rPr>
        <w:t>（姓名）为我公司为被委托受权人，以本公司的名义参加本项目的竞争性磋商响应活动。被委托受权人在开标、评审磋商活动、合同谈判过程中所签署的一切文件和处理与之有关的一切事务，我均予以承认。</w:t>
      </w:r>
    </w:p>
    <w:p>
      <w:pPr>
        <w:shd w:val="clear"/>
        <w:snapToGrid w:val="0"/>
        <w:spacing w:line="360" w:lineRule="auto"/>
        <w:ind w:firstLine="484" w:firstLineChars="202"/>
        <w:textAlignment w:val="baseline"/>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被委托受权人无转委权。特此委托。</w:t>
      </w:r>
    </w:p>
    <w:p>
      <w:pPr>
        <w:pStyle w:val="10"/>
        <w:shd w:val="clear"/>
        <w:snapToGrid w:val="0"/>
        <w:spacing w:line="360" w:lineRule="auto"/>
        <w:textAlignment w:val="baseline"/>
        <w:rPr>
          <w:rFonts w:hint="eastAsia" w:ascii="黑体" w:hAnsi="黑体" w:eastAsia="黑体" w:cs="黑体"/>
          <w:color w:val="auto"/>
          <w:szCs w:val="24"/>
          <w:highlight w:val="none"/>
        </w:rPr>
      </w:pPr>
    </w:p>
    <w:p>
      <w:pPr>
        <w:shd w:val="clear"/>
        <w:snapToGrid w:val="0"/>
        <w:spacing w:line="360" w:lineRule="auto"/>
        <w:ind w:firstLine="972" w:firstLineChars="405"/>
        <w:textAlignment w:val="baseline"/>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法定代表人签字：</w:t>
      </w:r>
    </w:p>
    <w:p>
      <w:pPr>
        <w:shd w:val="clear"/>
        <w:snapToGrid w:val="0"/>
        <w:spacing w:line="360" w:lineRule="auto"/>
        <w:ind w:firstLine="972" w:firstLineChars="405"/>
        <w:textAlignment w:val="baseline"/>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被委托受权人身份证号：</w:t>
      </w:r>
    </w:p>
    <w:p>
      <w:pPr>
        <w:shd w:val="clear"/>
        <w:snapToGrid w:val="0"/>
        <w:spacing w:line="360" w:lineRule="auto"/>
        <w:ind w:firstLine="972" w:firstLineChars="405"/>
        <w:textAlignment w:val="baseline"/>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被委托受权人签字：</w:t>
      </w:r>
    </w:p>
    <w:p>
      <w:pPr>
        <w:shd w:val="clear"/>
        <w:snapToGrid w:val="0"/>
        <w:spacing w:line="520" w:lineRule="exact"/>
        <w:jc w:val="right"/>
        <w:textAlignment w:val="baseline"/>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竞争性磋商响应单位：（加盖公章）</w:t>
      </w:r>
    </w:p>
    <w:p>
      <w:pPr>
        <w:shd w:val="clear"/>
        <w:snapToGrid w:val="0"/>
        <w:spacing w:line="420" w:lineRule="exact"/>
        <w:ind w:firstLine="484" w:firstLineChars="202"/>
        <w:jc w:val="right"/>
        <w:textAlignment w:val="baseline"/>
        <w:rPr>
          <w:rFonts w:hint="eastAsia" w:ascii="黑体" w:hAnsi="黑体" w:eastAsia="黑体" w:cs="黑体"/>
          <w:color w:val="auto"/>
          <w:highlight w:val="none"/>
        </w:rPr>
      </w:pPr>
      <w:r>
        <w:rPr>
          <w:rFonts w:hint="eastAsia" w:ascii="黑体" w:hAnsi="黑体" w:eastAsia="黑体" w:cs="黑体"/>
          <w:color w:val="auto"/>
          <w:sz w:val="24"/>
          <w:szCs w:val="24"/>
          <w:highlight w:val="none"/>
        </w:rPr>
        <w:t>年      月     日</w:t>
      </w:r>
    </w:p>
    <w:p>
      <w:pPr>
        <w:shd w:val="clear"/>
        <w:spacing w:line="360" w:lineRule="auto"/>
        <w:rPr>
          <w:rFonts w:hint="eastAsia" w:ascii="黑体" w:hAnsi="黑体" w:eastAsia="黑体" w:cs="黑体"/>
          <w:color w:val="auto"/>
          <w:sz w:val="24"/>
          <w:szCs w:val="24"/>
          <w:highlight w:val="none"/>
        </w:rPr>
      </w:pPr>
    </w:p>
    <w:p>
      <w:pPr>
        <w:shd w:val="clear"/>
        <w:spacing w:line="360" w:lineRule="auto"/>
        <w:rPr>
          <w:rFonts w:hint="eastAsia" w:ascii="黑体" w:hAnsi="黑体" w:eastAsia="黑体" w:cs="黑体"/>
          <w:color w:val="auto"/>
          <w:sz w:val="24"/>
          <w:szCs w:val="24"/>
          <w:highlight w:val="none"/>
        </w:rPr>
      </w:pPr>
    </w:p>
    <w:p>
      <w:pPr>
        <w:pStyle w:val="21"/>
        <w:shd w:val="clear"/>
        <w:spacing w:line="360" w:lineRule="auto"/>
        <w:rPr>
          <w:rFonts w:hint="eastAsia" w:ascii="黑体" w:hAnsi="黑体" w:eastAsia="黑体" w:cs="黑体"/>
          <w:color w:val="auto"/>
          <w:sz w:val="24"/>
          <w:szCs w:val="24"/>
          <w:highlight w:val="none"/>
        </w:rPr>
      </w:pPr>
    </w:p>
    <w:p>
      <w:pPr>
        <w:pStyle w:val="21"/>
        <w:shd w:val="clear"/>
        <w:spacing w:line="360" w:lineRule="auto"/>
        <w:rPr>
          <w:rFonts w:hint="eastAsia" w:ascii="黑体" w:hAnsi="黑体" w:eastAsia="黑体" w:cs="黑体"/>
          <w:color w:val="auto"/>
          <w:sz w:val="24"/>
          <w:szCs w:val="24"/>
          <w:highlight w:val="none"/>
        </w:rPr>
      </w:pPr>
    </w:p>
    <w:p>
      <w:pPr>
        <w:pStyle w:val="21"/>
        <w:shd w:val="clear"/>
        <w:snapToGrid w:val="0"/>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注：提供被委托授权人的身份证</w:t>
      </w:r>
      <w:r>
        <w:rPr>
          <w:rFonts w:hint="eastAsia" w:ascii="黑体" w:hAnsi="黑体" w:eastAsia="黑体" w:cs="黑体"/>
          <w:color w:val="auto"/>
          <w:sz w:val="24"/>
          <w:szCs w:val="24"/>
          <w:highlight w:val="none"/>
          <w:lang w:eastAsia="zh-CN"/>
        </w:rPr>
        <w:t>原件扫描件</w:t>
      </w:r>
      <w:r>
        <w:rPr>
          <w:rFonts w:hint="eastAsia" w:ascii="黑体" w:hAnsi="黑体" w:eastAsia="黑体" w:cs="黑体"/>
          <w:color w:val="auto"/>
          <w:sz w:val="24"/>
          <w:szCs w:val="24"/>
          <w:highlight w:val="none"/>
        </w:rPr>
        <w:t>正反两面和法定代表人的身份证</w:t>
      </w:r>
      <w:r>
        <w:rPr>
          <w:rFonts w:hint="eastAsia" w:ascii="黑体" w:hAnsi="黑体" w:eastAsia="黑体" w:cs="黑体"/>
          <w:color w:val="auto"/>
          <w:sz w:val="24"/>
          <w:szCs w:val="24"/>
          <w:highlight w:val="none"/>
          <w:lang w:eastAsia="zh-CN"/>
        </w:rPr>
        <w:t>原件扫描件</w:t>
      </w:r>
      <w:r>
        <w:rPr>
          <w:rFonts w:hint="eastAsia" w:ascii="黑体" w:hAnsi="黑体" w:eastAsia="黑体" w:cs="黑体"/>
          <w:color w:val="auto"/>
          <w:sz w:val="24"/>
          <w:szCs w:val="24"/>
          <w:highlight w:val="none"/>
        </w:rPr>
        <w:t>正反面</w:t>
      </w:r>
    </w:p>
    <w:p>
      <w:pPr>
        <w:shd w:val="clear"/>
        <w:snapToGrid w:val="0"/>
        <w:spacing w:line="360" w:lineRule="auto"/>
        <w:ind w:firstLine="321" w:firstLineChars="134"/>
        <w:jc w:val="left"/>
        <w:rPr>
          <w:rFonts w:hint="eastAsia" w:ascii="黑体" w:hAnsi="黑体" w:eastAsia="黑体" w:cs="黑体"/>
          <w:color w:val="auto"/>
          <w:sz w:val="24"/>
          <w:szCs w:val="24"/>
          <w:highlight w:val="none"/>
        </w:rPr>
      </w:pPr>
    </w:p>
    <w:p>
      <w:pPr>
        <w:shd w:val="clear"/>
        <w:spacing w:line="360" w:lineRule="auto"/>
        <w:jc w:val="left"/>
        <w:rPr>
          <w:rFonts w:hint="eastAsia" w:ascii="黑体" w:hAnsi="黑体" w:eastAsia="黑体" w:cs="黑体"/>
          <w:color w:val="auto"/>
          <w:sz w:val="24"/>
          <w:szCs w:val="24"/>
          <w:highlight w:val="none"/>
        </w:rPr>
      </w:pPr>
    </w:p>
    <w:p>
      <w:pPr>
        <w:shd w:val="clear"/>
        <w:snapToGrid w:val="0"/>
        <w:spacing w:line="600" w:lineRule="exact"/>
        <w:jc w:val="left"/>
        <w:rPr>
          <w:rFonts w:hint="eastAsia" w:ascii="黑体" w:hAnsi="黑体" w:eastAsia="黑体" w:cs="黑体"/>
          <w:b/>
          <w:bCs/>
          <w:color w:val="auto"/>
          <w:sz w:val="23"/>
          <w:szCs w:val="23"/>
          <w:highlight w:val="none"/>
        </w:rPr>
      </w:pPr>
      <w:bookmarkStart w:id="2" w:name="_Toc482189589"/>
      <w:bookmarkEnd w:id="2"/>
      <w:bookmarkStart w:id="3" w:name="_Toc482192403"/>
      <w:bookmarkEnd w:id="3"/>
      <w:r>
        <w:rPr>
          <w:rFonts w:hint="eastAsia" w:ascii="黑体" w:hAnsi="黑体" w:eastAsia="黑体" w:cs="黑体"/>
          <w:b/>
          <w:bCs/>
          <w:color w:val="auto"/>
          <w:sz w:val="23"/>
          <w:szCs w:val="23"/>
          <w:highlight w:val="none"/>
        </w:rPr>
        <w:t>注</w:t>
      </w:r>
      <w:r>
        <w:rPr>
          <w:rFonts w:hint="eastAsia" w:ascii="黑体" w:hAnsi="黑体" w:eastAsia="黑体" w:cs="黑体"/>
          <w:b/>
          <w:bCs/>
          <w:color w:val="auto"/>
          <w:sz w:val="23"/>
          <w:szCs w:val="23"/>
          <w:highlight w:val="none"/>
          <w:lang w:eastAsia="zh-CN"/>
        </w:rPr>
        <w:t>：</w:t>
      </w:r>
      <w:r>
        <w:rPr>
          <w:rFonts w:hint="eastAsia" w:ascii="黑体" w:hAnsi="黑体" w:eastAsia="黑体" w:cs="黑体"/>
          <w:b/>
          <w:bCs/>
          <w:color w:val="auto"/>
          <w:sz w:val="23"/>
          <w:szCs w:val="23"/>
          <w:highlight w:val="none"/>
        </w:rPr>
        <w:t>参加投标时授权代表将身份证原件带至开标现场备查。</w:t>
      </w:r>
    </w:p>
    <w:p>
      <w:pPr>
        <w:shd w:val="clear"/>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br w:type="page"/>
      </w:r>
    </w:p>
    <w:p>
      <w:pPr>
        <w:pStyle w:val="21"/>
        <w:shd w:val="clear"/>
        <w:ind w:firstLine="560"/>
        <w:jc w:val="left"/>
        <w:rPr>
          <w:rFonts w:hint="eastAsia" w:ascii="黑体" w:hAnsi="黑体" w:eastAsia="黑体" w:cs="黑体"/>
          <w:b/>
          <w:color w:val="auto"/>
          <w:sz w:val="30"/>
          <w:szCs w:val="30"/>
          <w:highlight w:val="none"/>
        </w:rPr>
      </w:pPr>
      <w:r>
        <w:rPr>
          <w:rFonts w:hint="eastAsia" w:ascii="黑体" w:hAnsi="黑体" w:eastAsia="黑体" w:cs="黑体"/>
          <w:b/>
          <w:bCs/>
          <w:color w:val="auto"/>
          <w:sz w:val="28"/>
          <w:szCs w:val="28"/>
          <w:highlight w:val="none"/>
        </w:rPr>
        <w:t>3、</w:t>
      </w:r>
      <w:r>
        <w:rPr>
          <w:rFonts w:hint="eastAsia" w:ascii="黑体" w:hAnsi="黑体" w:eastAsia="黑体" w:cs="黑体"/>
          <w:b/>
          <w:color w:val="auto"/>
          <w:sz w:val="30"/>
          <w:szCs w:val="30"/>
          <w:highlight w:val="none"/>
        </w:rPr>
        <w:t>供应商符合《政府采购法》第二十二条规定条件的声明函</w:t>
      </w:r>
    </w:p>
    <w:p>
      <w:pPr>
        <w:shd w:val="clear"/>
        <w:spacing w:line="460" w:lineRule="exact"/>
        <w:rPr>
          <w:rFonts w:hint="eastAsia" w:ascii="黑体" w:hAnsi="黑体" w:eastAsia="黑体" w:cs="黑体"/>
          <w:b/>
          <w:bCs/>
          <w:color w:val="auto"/>
          <w:sz w:val="44"/>
          <w:szCs w:val="44"/>
          <w:highlight w:val="none"/>
        </w:rPr>
      </w:pPr>
      <w:r>
        <w:rPr>
          <w:rFonts w:hint="eastAsia" w:ascii="黑体" w:hAnsi="黑体" w:eastAsia="黑体" w:cs="黑体"/>
          <w:b/>
          <w:bCs/>
          <w:color w:val="auto"/>
          <w:sz w:val="24"/>
          <w:szCs w:val="21"/>
          <w:highlight w:val="none"/>
        </w:rPr>
        <w:t xml:space="preserve">                       </w:t>
      </w:r>
      <w:r>
        <w:rPr>
          <w:rFonts w:hint="eastAsia" w:ascii="黑体" w:hAnsi="黑体" w:eastAsia="黑体" w:cs="黑体"/>
          <w:b/>
          <w:bCs/>
          <w:color w:val="auto"/>
          <w:sz w:val="44"/>
          <w:szCs w:val="44"/>
          <w:highlight w:val="none"/>
        </w:rPr>
        <w:t xml:space="preserve">   </w:t>
      </w:r>
    </w:p>
    <w:p>
      <w:pPr>
        <w:shd w:val="clear"/>
        <w:spacing w:line="520" w:lineRule="exact"/>
        <w:ind w:firstLine="480" w:firstLineChars="200"/>
        <w:rPr>
          <w:rFonts w:hint="eastAsia" w:ascii="黑体" w:hAnsi="黑体" w:eastAsia="黑体" w:cs="黑体"/>
          <w:b/>
          <w:bCs/>
          <w:color w:val="auto"/>
          <w:sz w:val="24"/>
          <w:highlight w:val="none"/>
        </w:rPr>
      </w:pPr>
      <w:r>
        <w:rPr>
          <w:rFonts w:hint="eastAsia" w:ascii="黑体" w:hAnsi="黑体" w:eastAsia="黑体" w:cs="黑体"/>
          <w:bCs/>
          <w:color w:val="auto"/>
          <w:sz w:val="24"/>
          <w:highlight w:val="none"/>
        </w:rPr>
        <w:t>我单位参加</w:t>
      </w:r>
      <w:r>
        <w:rPr>
          <w:rFonts w:hint="eastAsia" w:ascii="黑体" w:hAnsi="黑体" w:eastAsia="黑体" w:cs="黑体"/>
          <w:bCs/>
          <w:color w:val="auto"/>
          <w:sz w:val="24"/>
          <w:szCs w:val="21"/>
          <w:highlight w:val="none"/>
          <w:u w:val="single"/>
        </w:rPr>
        <w:t>________________ _</w:t>
      </w:r>
      <w:r>
        <w:rPr>
          <w:rFonts w:hint="eastAsia" w:ascii="黑体" w:hAnsi="黑体" w:eastAsia="黑体" w:cs="黑体"/>
          <w:bCs/>
          <w:color w:val="auto"/>
          <w:sz w:val="24"/>
          <w:szCs w:val="21"/>
          <w:highlight w:val="none"/>
        </w:rPr>
        <w:t>（项目名称），</w:t>
      </w:r>
      <w:r>
        <w:rPr>
          <w:rFonts w:hint="eastAsia" w:ascii="黑体" w:hAnsi="黑体" w:eastAsia="黑体" w:cs="黑体"/>
          <w:bCs/>
          <w:color w:val="auto"/>
          <w:sz w:val="24"/>
          <w:szCs w:val="21"/>
          <w:highlight w:val="none"/>
          <w:u w:val="single"/>
        </w:rPr>
        <w:t>_______ __________</w:t>
      </w:r>
      <w:r>
        <w:rPr>
          <w:rFonts w:hint="eastAsia" w:ascii="黑体" w:hAnsi="黑体" w:eastAsia="黑体" w:cs="黑体"/>
          <w:bCs/>
          <w:color w:val="auto"/>
          <w:sz w:val="24"/>
          <w:szCs w:val="21"/>
          <w:highlight w:val="none"/>
        </w:rPr>
        <w:t>（项目编号）投标活动。针对《中华人民共和国政府采购法》第二十二条规定做出如下声明：</w:t>
      </w:r>
    </w:p>
    <w:p>
      <w:pPr>
        <w:shd w:val="clear"/>
        <w:spacing w:line="520" w:lineRule="exact"/>
        <w:ind w:firstLine="482"/>
        <w:rPr>
          <w:rFonts w:hint="eastAsia" w:ascii="黑体" w:hAnsi="黑体" w:eastAsia="黑体" w:cs="黑体"/>
          <w:color w:val="auto"/>
          <w:sz w:val="24"/>
          <w:highlight w:val="none"/>
        </w:rPr>
      </w:pPr>
      <w:r>
        <w:rPr>
          <w:rFonts w:hint="eastAsia" w:ascii="黑体" w:hAnsi="黑体" w:eastAsia="黑体" w:cs="黑体"/>
          <w:bCs/>
          <w:color w:val="auto"/>
          <w:sz w:val="24"/>
          <w:szCs w:val="21"/>
          <w:highlight w:val="none"/>
        </w:rPr>
        <w:t>1.我单位具有独立承担民事责任的能力；</w:t>
      </w:r>
    </w:p>
    <w:p>
      <w:pPr>
        <w:shd w:val="clear"/>
        <w:spacing w:line="520" w:lineRule="exact"/>
        <w:ind w:firstLine="482"/>
        <w:rPr>
          <w:rFonts w:hint="eastAsia" w:ascii="黑体" w:hAnsi="黑体" w:eastAsia="黑体" w:cs="黑体"/>
          <w:color w:val="auto"/>
          <w:sz w:val="24"/>
          <w:highlight w:val="none"/>
        </w:rPr>
      </w:pPr>
      <w:r>
        <w:rPr>
          <w:rFonts w:hint="eastAsia" w:ascii="黑体" w:hAnsi="黑体" w:eastAsia="黑体" w:cs="黑体"/>
          <w:color w:val="auto"/>
          <w:sz w:val="24"/>
          <w:highlight w:val="none"/>
        </w:rPr>
        <w:t>2.我单位具有良好的商业信誉和健全的财务会计制度；</w:t>
      </w:r>
    </w:p>
    <w:p>
      <w:pPr>
        <w:shd w:val="clear"/>
        <w:spacing w:line="520" w:lineRule="exact"/>
        <w:ind w:firstLine="482"/>
        <w:rPr>
          <w:rFonts w:hint="eastAsia" w:ascii="黑体" w:hAnsi="黑体" w:eastAsia="黑体" w:cs="黑体"/>
          <w:color w:val="auto"/>
          <w:sz w:val="24"/>
          <w:highlight w:val="none"/>
        </w:rPr>
      </w:pPr>
      <w:r>
        <w:rPr>
          <w:rFonts w:hint="eastAsia" w:ascii="黑体" w:hAnsi="黑体" w:eastAsia="黑体" w:cs="黑体"/>
          <w:color w:val="auto"/>
          <w:sz w:val="24"/>
          <w:highlight w:val="none"/>
        </w:rPr>
        <w:t>3.我单位具有履行合同所必需的设备和专业技术能力；</w:t>
      </w:r>
    </w:p>
    <w:p>
      <w:pPr>
        <w:shd w:val="clear"/>
        <w:spacing w:line="520" w:lineRule="exact"/>
        <w:ind w:firstLine="482"/>
        <w:rPr>
          <w:rFonts w:hint="eastAsia" w:ascii="黑体" w:hAnsi="黑体" w:eastAsia="黑体" w:cs="黑体"/>
          <w:color w:val="auto"/>
          <w:sz w:val="24"/>
          <w:highlight w:val="none"/>
        </w:rPr>
      </w:pPr>
      <w:r>
        <w:rPr>
          <w:rFonts w:hint="eastAsia" w:ascii="黑体" w:hAnsi="黑体" w:eastAsia="黑体" w:cs="黑体"/>
          <w:color w:val="auto"/>
          <w:sz w:val="24"/>
          <w:highlight w:val="none"/>
        </w:rPr>
        <w:t>4.我单位有依法缴纳税收和社会保障资金的良好记录；</w:t>
      </w:r>
    </w:p>
    <w:p>
      <w:pPr>
        <w:shd w:val="clear"/>
        <w:spacing w:line="520" w:lineRule="exact"/>
        <w:ind w:firstLine="482"/>
        <w:rPr>
          <w:rFonts w:hint="eastAsia" w:ascii="黑体" w:hAnsi="黑体" w:eastAsia="黑体" w:cs="黑体"/>
          <w:color w:val="auto"/>
          <w:sz w:val="24"/>
          <w:highlight w:val="none"/>
        </w:rPr>
      </w:pPr>
      <w:r>
        <w:rPr>
          <w:rFonts w:hint="eastAsia" w:ascii="黑体" w:hAnsi="黑体" w:eastAsia="黑体" w:cs="黑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hd w:val="clear"/>
        <w:spacing w:line="520" w:lineRule="exact"/>
        <w:ind w:firstLine="482"/>
        <w:rPr>
          <w:rFonts w:hint="eastAsia" w:ascii="黑体" w:hAnsi="黑体" w:eastAsia="黑体" w:cs="黑体"/>
          <w:color w:val="auto"/>
          <w:sz w:val="24"/>
          <w:highlight w:val="none"/>
        </w:rPr>
      </w:pPr>
      <w:r>
        <w:rPr>
          <w:rFonts w:hint="eastAsia" w:ascii="黑体" w:hAnsi="黑体" w:eastAsia="黑体" w:cs="黑体"/>
          <w:color w:val="auto"/>
          <w:sz w:val="24"/>
          <w:highlight w:val="none"/>
        </w:rPr>
        <w:t>6.我单位满足法律、行政法规规定的其他条件。</w:t>
      </w:r>
    </w:p>
    <w:p>
      <w:pPr>
        <w:shd w:val="clear"/>
        <w:spacing w:line="500" w:lineRule="exact"/>
        <w:ind w:firstLine="482"/>
        <w:rPr>
          <w:rFonts w:hint="eastAsia" w:ascii="黑体" w:hAnsi="黑体" w:eastAsia="黑体" w:cs="黑体"/>
          <w:color w:val="auto"/>
          <w:sz w:val="24"/>
          <w:highlight w:val="none"/>
        </w:rPr>
      </w:pPr>
    </w:p>
    <w:p>
      <w:pPr>
        <w:shd w:val="clear"/>
        <w:spacing w:line="500" w:lineRule="exact"/>
        <w:rPr>
          <w:rFonts w:hint="eastAsia" w:ascii="黑体" w:hAnsi="黑体" w:eastAsia="黑体" w:cs="黑体"/>
          <w:color w:val="auto"/>
          <w:sz w:val="24"/>
          <w:highlight w:val="none"/>
        </w:rPr>
      </w:pPr>
    </w:p>
    <w:p>
      <w:pPr>
        <w:shd w:val="clear"/>
        <w:spacing w:line="500" w:lineRule="exact"/>
        <w:rPr>
          <w:rFonts w:hint="eastAsia" w:ascii="黑体" w:hAnsi="黑体" w:eastAsia="黑体" w:cs="黑体"/>
          <w:bCs/>
          <w:color w:val="auto"/>
          <w:sz w:val="24"/>
          <w:szCs w:val="21"/>
          <w:highlight w:val="none"/>
        </w:rPr>
      </w:pPr>
    </w:p>
    <w:p>
      <w:pPr>
        <w:shd w:val="clear"/>
        <w:spacing w:line="500" w:lineRule="exact"/>
        <w:rPr>
          <w:rFonts w:hint="eastAsia" w:ascii="黑体" w:hAnsi="黑体" w:eastAsia="黑体" w:cs="黑体"/>
          <w:bCs/>
          <w:color w:val="auto"/>
          <w:sz w:val="24"/>
          <w:szCs w:val="21"/>
          <w:highlight w:val="none"/>
        </w:rPr>
      </w:pPr>
    </w:p>
    <w:p>
      <w:pPr>
        <w:shd w:val="clear"/>
        <w:spacing w:line="500" w:lineRule="exact"/>
        <w:rPr>
          <w:rFonts w:hint="eastAsia" w:ascii="黑体" w:hAnsi="黑体" w:eastAsia="黑体" w:cs="黑体"/>
          <w:bCs/>
          <w:color w:val="auto"/>
          <w:sz w:val="24"/>
          <w:szCs w:val="21"/>
          <w:highlight w:val="none"/>
        </w:rPr>
      </w:pPr>
    </w:p>
    <w:p>
      <w:pPr>
        <w:shd w:val="clear"/>
        <w:spacing w:line="460" w:lineRule="exact"/>
        <w:jc w:val="center"/>
        <w:rPr>
          <w:rFonts w:hint="eastAsia" w:ascii="黑体" w:hAnsi="黑体" w:eastAsia="黑体" w:cs="黑体"/>
          <w:bCs/>
          <w:color w:val="auto"/>
          <w:sz w:val="24"/>
          <w:szCs w:val="21"/>
          <w:highlight w:val="none"/>
        </w:rPr>
      </w:pPr>
      <w:r>
        <w:rPr>
          <w:rFonts w:hint="eastAsia" w:ascii="黑体" w:hAnsi="黑体" w:eastAsia="黑体" w:cs="黑体"/>
          <w:bCs/>
          <w:color w:val="auto"/>
          <w:sz w:val="24"/>
          <w:szCs w:val="21"/>
          <w:highlight w:val="none"/>
        </w:rPr>
        <w:t xml:space="preserve">                                             承诺人名称（公章）：</w:t>
      </w:r>
    </w:p>
    <w:p>
      <w:pPr>
        <w:shd w:val="clear"/>
        <w:spacing w:line="460" w:lineRule="exact"/>
        <w:jc w:val="right"/>
        <w:rPr>
          <w:rFonts w:hint="eastAsia" w:ascii="黑体" w:hAnsi="黑体" w:eastAsia="黑体" w:cs="黑体"/>
          <w:bCs/>
          <w:color w:val="auto"/>
          <w:sz w:val="24"/>
          <w:szCs w:val="21"/>
          <w:highlight w:val="none"/>
        </w:rPr>
      </w:pPr>
      <w:r>
        <w:rPr>
          <w:rFonts w:hint="eastAsia" w:ascii="黑体" w:hAnsi="黑体" w:eastAsia="黑体" w:cs="黑体"/>
          <w:bCs/>
          <w:color w:val="auto"/>
          <w:sz w:val="24"/>
          <w:szCs w:val="21"/>
          <w:highlight w:val="none"/>
        </w:rPr>
        <w:t xml:space="preserve">    </w:t>
      </w:r>
    </w:p>
    <w:p>
      <w:pPr>
        <w:shd w:val="clear"/>
        <w:snapToGrid w:val="0"/>
        <w:spacing w:line="420" w:lineRule="exact"/>
        <w:jc w:val="center"/>
        <w:outlineLvl w:val="4"/>
        <w:rPr>
          <w:rFonts w:hint="eastAsia" w:ascii="黑体" w:hAnsi="黑体" w:eastAsia="黑体" w:cs="黑体"/>
          <w:b/>
          <w:bCs/>
          <w:color w:val="auto"/>
          <w:sz w:val="24"/>
          <w:highlight w:val="none"/>
        </w:rPr>
      </w:pPr>
      <w:r>
        <w:rPr>
          <w:rFonts w:hint="eastAsia" w:ascii="黑体" w:hAnsi="黑体" w:eastAsia="黑体" w:cs="黑体"/>
          <w:bCs/>
          <w:color w:val="auto"/>
          <w:sz w:val="24"/>
          <w:szCs w:val="21"/>
          <w:highlight w:val="none"/>
        </w:rPr>
        <w:t xml:space="preserve">                                 日期：</w:t>
      </w:r>
      <w:r>
        <w:rPr>
          <w:rFonts w:hint="eastAsia" w:ascii="黑体" w:hAnsi="黑体" w:eastAsia="黑体" w:cs="黑体"/>
          <w:bCs/>
          <w:color w:val="auto"/>
          <w:sz w:val="24"/>
          <w:szCs w:val="21"/>
          <w:highlight w:val="none"/>
          <w:u w:val="single"/>
        </w:rPr>
        <w:t>______</w:t>
      </w:r>
      <w:r>
        <w:rPr>
          <w:rFonts w:hint="eastAsia" w:ascii="黑体" w:hAnsi="黑体" w:eastAsia="黑体" w:cs="黑体"/>
          <w:bCs/>
          <w:color w:val="auto"/>
          <w:sz w:val="24"/>
          <w:szCs w:val="21"/>
          <w:highlight w:val="none"/>
        </w:rPr>
        <w:t>年</w:t>
      </w:r>
      <w:r>
        <w:rPr>
          <w:rFonts w:hint="eastAsia" w:ascii="黑体" w:hAnsi="黑体" w:eastAsia="黑体" w:cs="黑体"/>
          <w:bCs/>
          <w:color w:val="auto"/>
          <w:sz w:val="24"/>
          <w:szCs w:val="21"/>
          <w:highlight w:val="none"/>
          <w:u w:val="single"/>
        </w:rPr>
        <w:t xml:space="preserve">    </w:t>
      </w:r>
      <w:r>
        <w:rPr>
          <w:rFonts w:hint="eastAsia" w:ascii="黑体" w:hAnsi="黑体" w:eastAsia="黑体" w:cs="黑体"/>
          <w:bCs/>
          <w:color w:val="auto"/>
          <w:sz w:val="24"/>
          <w:szCs w:val="21"/>
          <w:highlight w:val="none"/>
        </w:rPr>
        <w:t>月</w:t>
      </w:r>
      <w:r>
        <w:rPr>
          <w:rFonts w:hint="eastAsia" w:ascii="黑体" w:hAnsi="黑体" w:eastAsia="黑体" w:cs="黑体"/>
          <w:bCs/>
          <w:color w:val="auto"/>
          <w:sz w:val="24"/>
          <w:szCs w:val="21"/>
          <w:highlight w:val="none"/>
          <w:u w:val="single"/>
        </w:rPr>
        <w:t xml:space="preserve">    </w:t>
      </w:r>
      <w:r>
        <w:rPr>
          <w:rFonts w:hint="eastAsia" w:ascii="黑体" w:hAnsi="黑体" w:eastAsia="黑体" w:cs="黑体"/>
          <w:bCs/>
          <w:color w:val="auto"/>
          <w:sz w:val="24"/>
          <w:szCs w:val="21"/>
          <w:highlight w:val="none"/>
        </w:rPr>
        <w:t>日</w:t>
      </w:r>
    </w:p>
    <w:p>
      <w:pPr>
        <w:shd w:val="clear"/>
        <w:snapToGrid w:val="0"/>
        <w:spacing w:line="420" w:lineRule="exact"/>
        <w:rPr>
          <w:rFonts w:hint="eastAsia" w:ascii="黑体" w:hAnsi="黑体" w:eastAsia="黑体" w:cs="黑体"/>
          <w:b/>
          <w:bCs/>
          <w:color w:val="auto"/>
          <w:sz w:val="24"/>
          <w:szCs w:val="24"/>
          <w:highlight w:val="none"/>
          <w:lang w:val="en-US" w:eastAsia="zh-CN"/>
        </w:rPr>
      </w:pPr>
    </w:p>
    <w:p>
      <w:pPr>
        <w:shd w:val="clear"/>
        <w:snapToGrid w:val="0"/>
        <w:spacing w:line="420" w:lineRule="exact"/>
        <w:rPr>
          <w:rFonts w:hint="eastAsia" w:ascii="黑体" w:hAnsi="黑体" w:eastAsia="黑体" w:cs="黑体"/>
          <w:b/>
          <w:bCs/>
          <w:color w:val="auto"/>
          <w:sz w:val="24"/>
          <w:szCs w:val="24"/>
          <w:highlight w:val="none"/>
          <w:lang w:val="en-US" w:eastAsia="zh-CN"/>
        </w:rPr>
      </w:pPr>
    </w:p>
    <w:p>
      <w:pPr>
        <w:shd w:val="clear"/>
        <w:snapToGrid w:val="0"/>
        <w:spacing w:line="420" w:lineRule="exact"/>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、资格证明材料所含内容的所有</w:t>
      </w:r>
      <w:r>
        <w:rPr>
          <w:rFonts w:hint="eastAsia" w:ascii="黑体" w:hAnsi="黑体" w:eastAsia="黑体" w:cs="黑体"/>
          <w:b/>
          <w:bCs/>
          <w:color w:val="auto"/>
          <w:sz w:val="24"/>
          <w:szCs w:val="24"/>
          <w:highlight w:val="none"/>
          <w:lang w:eastAsia="zh-CN"/>
        </w:rPr>
        <w:t>原件扫描件</w:t>
      </w:r>
      <w:r>
        <w:rPr>
          <w:rFonts w:hint="eastAsia" w:ascii="黑体" w:hAnsi="黑体" w:eastAsia="黑体" w:cs="黑体"/>
          <w:b/>
          <w:bCs/>
          <w:color w:val="auto"/>
          <w:sz w:val="24"/>
          <w:szCs w:val="24"/>
          <w:highlight w:val="none"/>
        </w:rPr>
        <w:t>（加盖公章）</w:t>
      </w:r>
    </w:p>
    <w:p>
      <w:pPr>
        <w:pStyle w:val="21"/>
        <w:widowControl/>
        <w:shd w:val="clear"/>
        <w:spacing w:line="360" w:lineRule="auto"/>
        <w:jc w:val="left"/>
        <w:rPr>
          <w:rFonts w:hint="eastAsia" w:ascii="黑体" w:hAnsi="黑体" w:eastAsia="黑体" w:cs="黑体"/>
          <w:color w:val="auto"/>
          <w:sz w:val="24"/>
          <w:szCs w:val="24"/>
          <w:highlight w:val="none"/>
        </w:rPr>
      </w:pPr>
    </w:p>
    <w:p>
      <w:pPr>
        <w:pStyle w:val="21"/>
        <w:shd w:val="clear"/>
        <w:spacing w:line="360" w:lineRule="auto"/>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第二部分技术标主要内容（单独密封）</w:t>
      </w:r>
    </w:p>
    <w:p>
      <w:pPr>
        <w:pStyle w:val="21"/>
        <w:shd w:val="clea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w:t>
      </w:r>
    </w:p>
    <w:p>
      <w:pPr>
        <w:pStyle w:val="34"/>
        <w:shd w:val="clear"/>
        <w:spacing w:line="360" w:lineRule="auto"/>
        <w:ind w:left="42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目</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录</w:t>
      </w:r>
    </w:p>
    <w:p>
      <w:pPr>
        <w:pStyle w:val="34"/>
        <w:shd w:val="clear"/>
        <w:spacing w:line="360" w:lineRule="auto"/>
        <w:ind w:left="42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w:t>
      </w:r>
    </w:p>
    <w:p>
      <w:pPr>
        <w:pStyle w:val="21"/>
        <w:shd w:val="clear"/>
        <w:snapToGrid w:val="0"/>
        <w:spacing w:line="360" w:lineRule="auto"/>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技术标包（应包括但不限于以下内容。不得出现报价，否则为废标）：</w:t>
      </w:r>
    </w:p>
    <w:p>
      <w:pPr>
        <w:pStyle w:val="21"/>
        <w:shd w:val="clear"/>
        <w:spacing w:line="440" w:lineRule="exact"/>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1、封面</w:t>
      </w:r>
    </w:p>
    <w:p>
      <w:pPr>
        <w:pStyle w:val="21"/>
        <w:shd w:val="clear"/>
        <w:spacing w:line="440" w:lineRule="exact"/>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2、磋商响应函</w:t>
      </w:r>
    </w:p>
    <w:p>
      <w:pPr>
        <w:pStyle w:val="21"/>
        <w:shd w:val="clear"/>
        <w:snapToGrid w:val="0"/>
        <w:spacing w:line="360" w:lineRule="auto"/>
        <w:jc w:val="left"/>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3、根据第六章“评标办法”2.2.2 条款技术标的评审因素及评审标准提供相关投标资料。</w:t>
      </w:r>
    </w:p>
    <w:p>
      <w:pPr>
        <w:pStyle w:val="22"/>
        <w:shd w:val="clear"/>
        <w:spacing w:line="360" w:lineRule="auto"/>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4、商务技术条款响应一览表</w:t>
      </w:r>
    </w:p>
    <w:p>
      <w:pPr>
        <w:pStyle w:val="22"/>
        <w:shd w:val="clear"/>
        <w:rPr>
          <w:rFonts w:hint="eastAsia" w:ascii="黑体" w:hAnsi="黑体" w:eastAsia="黑体" w:cs="黑体"/>
          <w:color w:val="auto"/>
          <w:highlight w:val="none"/>
        </w:rPr>
      </w:pPr>
      <w:r>
        <w:rPr>
          <w:rFonts w:hint="eastAsia" w:ascii="黑体" w:hAnsi="黑体" w:eastAsia="黑体" w:cs="黑体"/>
          <w:color w:val="auto"/>
          <w:highlight w:val="none"/>
        </w:rPr>
        <w:t xml:space="preserve"> </w:t>
      </w:r>
    </w:p>
    <w:p>
      <w:pPr>
        <w:pStyle w:val="21"/>
        <w:shd w:val="clear"/>
        <w:snapToGrid w:val="0"/>
        <w:spacing w:line="360" w:lineRule="auto"/>
        <w:jc w:val="left"/>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注明：1、各投标单位根据本项目的技术标文件目录中的内容按顺序编制目录和页码范围（各条款的具体内容及要求请按照本磋商文件第六章“评标办法”2.2.2 条款技术标的评审因素及评审标准提供相关投标资料），技术标的以上条款中纸质所有证明</w:t>
      </w:r>
      <w:r>
        <w:rPr>
          <w:rFonts w:hint="eastAsia" w:ascii="黑体" w:hAnsi="黑体" w:eastAsia="黑体" w:cs="黑体"/>
          <w:b/>
          <w:bCs/>
          <w:color w:val="auto"/>
          <w:sz w:val="24"/>
          <w:szCs w:val="24"/>
          <w:highlight w:val="none"/>
          <w:lang w:eastAsia="zh-CN"/>
        </w:rPr>
        <w:t>材料</w:t>
      </w:r>
      <w:r>
        <w:rPr>
          <w:rFonts w:hint="eastAsia" w:ascii="黑体" w:hAnsi="黑体" w:eastAsia="黑体" w:cs="黑体"/>
          <w:b/>
          <w:bCs/>
          <w:color w:val="auto"/>
          <w:sz w:val="24"/>
          <w:szCs w:val="24"/>
          <w:highlight w:val="none"/>
        </w:rPr>
        <w:t>或证书需提供</w:t>
      </w:r>
      <w:r>
        <w:rPr>
          <w:rFonts w:hint="eastAsia" w:ascii="黑体" w:hAnsi="黑体" w:eastAsia="黑体" w:cs="黑体"/>
          <w:b/>
          <w:bCs/>
          <w:color w:val="auto"/>
          <w:sz w:val="24"/>
          <w:szCs w:val="24"/>
          <w:highlight w:val="none"/>
          <w:lang w:eastAsia="zh-CN"/>
        </w:rPr>
        <w:t>原件扫描件</w:t>
      </w:r>
      <w:r>
        <w:rPr>
          <w:rFonts w:hint="eastAsia" w:ascii="黑体" w:hAnsi="黑体" w:eastAsia="黑体" w:cs="黑体"/>
          <w:b/>
          <w:bCs/>
          <w:color w:val="auto"/>
          <w:sz w:val="24"/>
          <w:szCs w:val="24"/>
          <w:highlight w:val="none"/>
        </w:rPr>
        <w:t>并加盖单位公章，同时以上条款中要求提供原件查验的，若原件未带或不符合等原因造成一切后果由投标单位承担。</w:t>
      </w:r>
    </w:p>
    <w:p>
      <w:pPr>
        <w:pStyle w:val="21"/>
        <w:widowControl/>
        <w:shd w:val="clear" w:color="auto"/>
        <w:spacing w:line="360" w:lineRule="auto"/>
        <w:jc w:val="left"/>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 xml:space="preserve"> </w:t>
      </w:r>
    </w:p>
    <w:p>
      <w:pPr>
        <w:pStyle w:val="21"/>
        <w:widowControl/>
        <w:shd w:val="clear" w:color="auto"/>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w:t>
      </w:r>
      <w:r>
        <w:rPr>
          <w:rFonts w:hint="eastAsia" w:ascii="黑体" w:hAnsi="黑体" w:eastAsia="黑体" w:cs="黑体"/>
          <w:color w:val="auto"/>
          <w:highlight w:val="none"/>
        </w:rPr>
        <w:br w:type="page"/>
      </w:r>
    </w:p>
    <w:p>
      <w:pPr>
        <w:pStyle w:val="21"/>
        <w:shd w:val="clear"/>
        <w:spacing w:line="360" w:lineRule="auto"/>
        <w:jc w:val="center"/>
        <w:rPr>
          <w:rFonts w:hint="eastAsia" w:ascii="黑体" w:hAnsi="黑体" w:eastAsia="黑体" w:cs="黑体"/>
          <w:b/>
          <w:bCs/>
          <w:color w:val="auto"/>
          <w:sz w:val="28"/>
          <w:szCs w:val="28"/>
          <w:highlight w:val="none"/>
        </w:rPr>
      </w:pPr>
      <w:r>
        <w:rPr>
          <w:rFonts w:hint="eastAsia" w:ascii="黑体" w:hAnsi="黑体" w:eastAsia="黑体" w:cs="黑体"/>
          <w:color w:val="auto"/>
          <w:highlight w:val="none"/>
        </w:rPr>
        <w:t>一、</w:t>
      </w:r>
      <w:r>
        <w:rPr>
          <w:rFonts w:hint="eastAsia" w:ascii="黑体" w:hAnsi="黑体" w:eastAsia="黑体" w:cs="黑体"/>
          <w:b/>
          <w:bCs/>
          <w:color w:val="auto"/>
          <w:sz w:val="28"/>
          <w:szCs w:val="28"/>
          <w:highlight w:val="none"/>
        </w:rPr>
        <w:t>磋商响应函</w:t>
      </w:r>
    </w:p>
    <w:p>
      <w:pPr>
        <w:pStyle w:val="21"/>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2"/>
          <w:szCs w:val="22"/>
          <w:highlight w:val="none"/>
          <w:u w:val="single"/>
        </w:rPr>
        <w:t>（</w:t>
      </w:r>
      <w:r>
        <w:rPr>
          <w:rFonts w:hint="eastAsia" w:ascii="黑体" w:hAnsi="黑体" w:eastAsia="黑体" w:cs="黑体"/>
          <w:color w:val="auto"/>
          <w:sz w:val="22"/>
          <w:szCs w:val="22"/>
          <w:highlight w:val="none"/>
          <w:u w:val="single"/>
          <w:lang w:eastAsia="zh-CN"/>
        </w:rPr>
        <w:t>采购人</w:t>
      </w:r>
      <w:r>
        <w:rPr>
          <w:rFonts w:hint="eastAsia" w:ascii="黑体" w:hAnsi="黑体" w:eastAsia="黑体" w:cs="黑体"/>
          <w:color w:val="auto"/>
          <w:sz w:val="22"/>
          <w:szCs w:val="22"/>
          <w:highlight w:val="none"/>
          <w:u w:val="single"/>
        </w:rPr>
        <w:t>）</w:t>
      </w:r>
      <w:r>
        <w:rPr>
          <w:rFonts w:hint="eastAsia" w:ascii="黑体" w:hAnsi="黑体" w:eastAsia="黑体" w:cs="黑体"/>
          <w:color w:val="auto"/>
          <w:sz w:val="24"/>
          <w:szCs w:val="24"/>
          <w:highlight w:val="none"/>
        </w:rPr>
        <w:t>：</w:t>
      </w:r>
    </w:p>
    <w:p>
      <w:pPr>
        <w:pStyle w:val="21"/>
        <w:shd w:val="clea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依据贵单位</w:t>
      </w:r>
      <w:r>
        <w:rPr>
          <w:rFonts w:hint="eastAsia" w:ascii="黑体" w:hAnsi="黑体" w:eastAsia="黑体" w:cs="黑体"/>
          <w:color w:val="auto"/>
          <w:sz w:val="24"/>
          <w:szCs w:val="24"/>
          <w:highlight w:val="none"/>
          <w:u w:val="single"/>
        </w:rPr>
        <w:t xml:space="preserve"> （采购项目名称</w:t>
      </w:r>
      <w:r>
        <w:rPr>
          <w:rFonts w:hint="eastAsia" w:ascii="黑体" w:hAnsi="黑体" w:eastAsia="黑体" w:cs="黑体"/>
          <w:color w:val="auto"/>
          <w:sz w:val="24"/>
          <w:szCs w:val="24"/>
          <w:highlight w:val="none"/>
          <w:u w:val="single"/>
          <w:lang w:eastAsia="zh-CN"/>
        </w:rPr>
        <w:t>、</w:t>
      </w:r>
      <w:r>
        <w:rPr>
          <w:rFonts w:hint="eastAsia" w:ascii="黑体" w:hAnsi="黑体" w:eastAsia="黑体" w:cs="黑体"/>
          <w:color w:val="auto"/>
          <w:sz w:val="24"/>
          <w:szCs w:val="24"/>
          <w:highlight w:val="none"/>
          <w:u w:val="single"/>
          <w:lang w:val="en-US" w:eastAsia="zh-CN"/>
        </w:rPr>
        <w:t>包件号</w:t>
      </w:r>
      <w:r>
        <w:rPr>
          <w:rFonts w:hint="eastAsia" w:ascii="黑体" w:hAnsi="黑体" w:eastAsia="黑体" w:cs="黑体"/>
          <w:color w:val="auto"/>
          <w:sz w:val="24"/>
          <w:szCs w:val="24"/>
          <w:highlight w:val="none"/>
          <w:u w:val="single"/>
        </w:rPr>
        <w:t>及项目编号</w:t>
      </w:r>
      <w:r>
        <w:rPr>
          <w:rFonts w:hint="eastAsia" w:ascii="黑体" w:hAnsi="黑体" w:eastAsia="黑体" w:cs="黑体"/>
          <w:color w:val="auto"/>
          <w:sz w:val="24"/>
          <w:szCs w:val="24"/>
          <w:highlight w:val="none"/>
          <w:u w:val="single"/>
          <w:lang w:eastAsia="zh-CN"/>
        </w:rPr>
        <w:t>）</w:t>
      </w:r>
      <w:r>
        <w:rPr>
          <w:rFonts w:hint="eastAsia" w:ascii="黑体" w:hAnsi="黑体" w:eastAsia="黑体" w:cs="黑体"/>
          <w:color w:val="auto"/>
          <w:sz w:val="24"/>
          <w:szCs w:val="24"/>
          <w:highlight w:val="none"/>
        </w:rPr>
        <w:t>项目公开招标的邀请，我方授权（姓名）（职务）为全权代表参加该项目的投标，全权处理本次投标的有关事宜。同时，我公司声明如下：</w:t>
      </w:r>
    </w:p>
    <w:p>
      <w:pPr>
        <w:pStyle w:val="21"/>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1、同意并接受磋商文件的各项要求，遵守磋商文件中的各项规定，按磋商文件的要求提供报价。</w:t>
      </w:r>
    </w:p>
    <w:p>
      <w:pPr>
        <w:pStyle w:val="21"/>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2、我公司已经详细阅读了全部磋商文件及其附件，我方已完全清晰理解磋商文件的要求，不存在任何含糊不清和误解之处，同意放弃对这些文件所提出的异议和质疑的权利。</w:t>
      </w:r>
    </w:p>
    <w:p>
      <w:pPr>
        <w:pStyle w:val="21"/>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3、我公司已毫无保留地向贵方提供一切所需的证明材料。</w:t>
      </w:r>
    </w:p>
    <w:p>
      <w:pPr>
        <w:pStyle w:val="21"/>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4、我公司承诺在本次投标中提供的一切文件，无论是原件还是</w:t>
      </w:r>
      <w:r>
        <w:rPr>
          <w:rFonts w:hint="eastAsia" w:ascii="黑体" w:hAnsi="黑体" w:eastAsia="黑体" w:cs="黑体"/>
          <w:color w:val="auto"/>
          <w:sz w:val="24"/>
          <w:szCs w:val="24"/>
          <w:highlight w:val="none"/>
          <w:lang w:eastAsia="zh-CN"/>
        </w:rPr>
        <w:t>原件扫描件</w:t>
      </w:r>
      <w:r>
        <w:rPr>
          <w:rFonts w:hint="eastAsia" w:ascii="黑体" w:hAnsi="黑体" w:eastAsia="黑体" w:cs="黑体"/>
          <w:color w:val="auto"/>
          <w:sz w:val="24"/>
          <w:szCs w:val="24"/>
          <w:highlight w:val="none"/>
        </w:rPr>
        <w:t>均真实合法有效，绝无任何虚假、伪造和夸大</w:t>
      </w:r>
      <w:r>
        <w:rPr>
          <w:rFonts w:hint="eastAsia" w:ascii="黑体" w:hAnsi="黑体" w:eastAsia="黑体" w:cs="黑体"/>
          <w:color w:val="auto"/>
          <w:sz w:val="24"/>
          <w:szCs w:val="24"/>
          <w:highlight w:val="none"/>
          <w:lang w:eastAsia="zh-CN"/>
        </w:rPr>
        <w:t>的成分</w:t>
      </w:r>
      <w:r>
        <w:rPr>
          <w:rFonts w:hint="eastAsia" w:ascii="黑体" w:hAnsi="黑体" w:eastAsia="黑体" w:cs="黑体"/>
          <w:color w:val="auto"/>
          <w:sz w:val="24"/>
          <w:szCs w:val="24"/>
          <w:highlight w:val="none"/>
        </w:rPr>
        <w:t>。否则，愿承担相应的后果和法律责任。</w:t>
      </w:r>
    </w:p>
    <w:p>
      <w:pPr>
        <w:pStyle w:val="21"/>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5、我公司尊重评标委员会所作的评定结果，同时清楚理解到报价最低并非意味着必定获得成交资格。</w:t>
      </w:r>
    </w:p>
    <w:p>
      <w:pPr>
        <w:pStyle w:val="21"/>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6、一旦我方成交</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我方将根据磋商文件的要求和投标文件的承诺签订合同，严格履行合同的责任和义务</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并保证在磋商文件规定的时间完成项目，交付采购单位验收、使用。</w:t>
      </w:r>
    </w:p>
    <w:p>
      <w:pPr>
        <w:pStyle w:val="21"/>
        <w:shd w:val="clear"/>
        <w:spacing w:line="360" w:lineRule="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 xml:space="preserve"> </w:t>
      </w:r>
    </w:p>
    <w:p>
      <w:pPr>
        <w:pStyle w:val="21"/>
        <w:shd w:val="clear"/>
        <w:spacing w:line="360" w:lineRule="auto"/>
        <w:jc w:val="righ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响应供应商：（加盖公章）</w:t>
      </w:r>
    </w:p>
    <w:p>
      <w:pPr>
        <w:pStyle w:val="21"/>
        <w:shd w:val="clear"/>
        <w:spacing w:line="360" w:lineRule="auto"/>
        <w:jc w:val="righ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法定代表人或被授权人：（签字或盖章）</w:t>
      </w:r>
    </w:p>
    <w:p>
      <w:pPr>
        <w:pStyle w:val="21"/>
        <w:shd w:val="clear"/>
        <w:spacing w:line="360" w:lineRule="auto"/>
        <w:jc w:val="righ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w:t>
      </w:r>
    </w:p>
    <w:p>
      <w:pPr>
        <w:pStyle w:val="21"/>
        <w:shd w:val="clear"/>
        <w:spacing w:line="360" w:lineRule="auto"/>
        <w:jc w:val="righ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年    月    日</w:t>
      </w:r>
    </w:p>
    <w:p>
      <w:pPr>
        <w:pStyle w:val="21"/>
        <w:shd w:val="clear"/>
        <w:autoSpaceDE w:val="0"/>
        <w:autoSpaceDN w:val="0"/>
        <w:spacing w:line="360" w:lineRule="auto"/>
        <w:jc w:val="center"/>
        <w:rPr>
          <w:rFonts w:hint="eastAsia" w:ascii="黑体" w:hAnsi="黑体" w:eastAsia="黑体" w:cs="黑体"/>
          <w:color w:val="auto"/>
          <w:highlight w:val="none"/>
        </w:rPr>
      </w:pPr>
      <w:r>
        <w:rPr>
          <w:rFonts w:hint="eastAsia" w:ascii="黑体" w:hAnsi="黑体" w:eastAsia="黑体" w:cs="黑体"/>
          <w:color w:val="auto"/>
          <w:highlight w:val="none"/>
        </w:rPr>
        <w:t xml:space="preserve"> </w:t>
      </w:r>
    </w:p>
    <w:p>
      <w:pPr>
        <w:pStyle w:val="22"/>
        <w:shd w:val="clear"/>
        <w:spacing w:line="360" w:lineRule="auto"/>
        <w:rPr>
          <w:rFonts w:hint="eastAsia" w:ascii="黑体" w:hAnsi="黑体" w:eastAsia="黑体" w:cs="黑体"/>
          <w:color w:val="auto"/>
          <w:highlight w:val="none"/>
        </w:rPr>
      </w:pPr>
      <w:r>
        <w:rPr>
          <w:rFonts w:hint="eastAsia" w:ascii="黑体" w:hAnsi="黑体" w:eastAsia="黑体" w:cs="黑体"/>
          <w:color w:val="auto"/>
          <w:highlight w:val="none"/>
        </w:rPr>
        <w:t xml:space="preserve"> </w:t>
      </w:r>
    </w:p>
    <w:p>
      <w:pPr>
        <w:pStyle w:val="22"/>
        <w:shd w:val="clear"/>
        <w:spacing w:line="360" w:lineRule="auto"/>
        <w:rPr>
          <w:rFonts w:hint="eastAsia" w:ascii="黑体" w:hAnsi="黑体" w:eastAsia="黑体" w:cs="黑体"/>
          <w:color w:val="auto"/>
          <w:highlight w:val="none"/>
        </w:rPr>
      </w:pPr>
      <w:r>
        <w:rPr>
          <w:rFonts w:hint="eastAsia" w:ascii="黑体" w:hAnsi="黑体" w:eastAsia="黑体" w:cs="黑体"/>
          <w:color w:val="auto"/>
          <w:highlight w:val="none"/>
        </w:rPr>
        <w:t xml:space="preserve"> </w:t>
      </w:r>
    </w:p>
    <w:p>
      <w:pPr>
        <w:pStyle w:val="22"/>
        <w:shd w:val="clear"/>
        <w:spacing w:line="360" w:lineRule="auto"/>
        <w:rPr>
          <w:rFonts w:hint="eastAsia" w:ascii="黑体" w:hAnsi="黑体" w:eastAsia="黑体" w:cs="黑体"/>
          <w:color w:val="auto"/>
          <w:highlight w:val="none"/>
        </w:rPr>
      </w:pPr>
      <w:r>
        <w:rPr>
          <w:rFonts w:hint="eastAsia" w:ascii="黑体" w:hAnsi="黑体" w:eastAsia="黑体" w:cs="黑体"/>
          <w:color w:val="auto"/>
          <w:highlight w:val="none"/>
        </w:rPr>
        <w:t xml:space="preserve"> </w:t>
      </w:r>
    </w:p>
    <w:p>
      <w:pPr>
        <w:pStyle w:val="22"/>
        <w:shd w:val="clear"/>
        <w:spacing w:line="360" w:lineRule="auto"/>
        <w:jc w:val="center"/>
        <w:rPr>
          <w:rFonts w:hint="eastAsia" w:ascii="黑体" w:hAnsi="黑体" w:eastAsia="黑体" w:cs="黑体"/>
          <w:color w:val="auto"/>
          <w:highlight w:val="none"/>
        </w:rPr>
      </w:pPr>
      <w:r>
        <w:rPr>
          <w:rFonts w:hint="eastAsia" w:ascii="黑体" w:hAnsi="黑体" w:eastAsia="黑体" w:cs="黑体"/>
          <w:color w:val="auto"/>
          <w:highlight w:val="none"/>
        </w:rPr>
        <w:t>二、商务技术条款响应一览表</w:t>
      </w:r>
    </w:p>
    <w:p>
      <w:pPr>
        <w:pStyle w:val="22"/>
        <w:shd w:val="clear"/>
        <w:spacing w:line="360" w:lineRule="auto"/>
        <w:jc w:val="left"/>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项目编号：</w:t>
      </w:r>
    </w:p>
    <w:p>
      <w:pPr>
        <w:pStyle w:val="21"/>
        <w:rPr>
          <w:rFonts w:hint="eastAsia" w:ascii="黑体" w:hAnsi="黑体" w:eastAsia="黑体" w:cs="黑体"/>
          <w:color w:val="auto"/>
          <w:highlight w:val="none"/>
          <w:lang w:val="en-US" w:eastAsia="zh-CN"/>
        </w:rPr>
      </w:pPr>
      <w:r>
        <w:rPr>
          <w:rFonts w:hint="eastAsia" w:ascii="黑体" w:hAnsi="黑体" w:eastAsia="黑体" w:cs="黑体"/>
          <w:b/>
          <w:bCs/>
          <w:color w:val="auto"/>
          <w:sz w:val="24"/>
          <w:szCs w:val="24"/>
          <w:highlight w:val="none"/>
          <w:lang w:val="en-US" w:eastAsia="zh-CN"/>
        </w:rPr>
        <w:t>包件号：</w:t>
      </w:r>
    </w:p>
    <w:tbl>
      <w:tblPr>
        <w:tblStyle w:val="15"/>
        <w:tblW w:w="9671" w:type="dxa"/>
        <w:tblInd w:w="-207" w:type="dxa"/>
        <w:tblLayout w:type="fixed"/>
        <w:tblCellMar>
          <w:top w:w="0" w:type="dxa"/>
          <w:left w:w="108" w:type="dxa"/>
          <w:bottom w:w="0" w:type="dxa"/>
          <w:right w:w="108" w:type="dxa"/>
        </w:tblCellMar>
      </w:tblPr>
      <w:tblGrid>
        <w:gridCol w:w="1025"/>
        <w:gridCol w:w="1275"/>
        <w:gridCol w:w="2268"/>
        <w:gridCol w:w="2269"/>
        <w:gridCol w:w="1620"/>
        <w:gridCol w:w="1214"/>
      </w:tblGrid>
      <w:tr>
        <w:trPr>
          <w:cantSplit/>
          <w:trHeight w:val="485" w:hRule="atLeast"/>
        </w:trPr>
        <w:tc>
          <w:tcPr>
            <w:tcW w:w="1024" w:type="dxa"/>
            <w:tcBorders>
              <w:top w:val="single" w:color="000000" w:sz="4" w:space="0"/>
              <w:left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序号</w:t>
            </w:r>
          </w:p>
        </w:tc>
        <w:tc>
          <w:tcPr>
            <w:tcW w:w="1275" w:type="dxa"/>
            <w:tcBorders>
              <w:top w:val="single" w:color="000000" w:sz="4" w:space="0"/>
              <w:bottom w:val="single" w:color="000000" w:sz="4" w:space="0"/>
              <w:right w:val="single" w:color="000000" w:sz="4" w:space="0"/>
            </w:tcBorders>
            <w:vAlign w:val="center"/>
          </w:tcPr>
          <w:p>
            <w:pPr>
              <w:pStyle w:val="21"/>
              <w:shd w:val="clear"/>
              <w:spacing w:line="360" w:lineRule="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项目名称</w:t>
            </w:r>
          </w:p>
        </w:tc>
        <w:tc>
          <w:tcPr>
            <w:tcW w:w="2268" w:type="dxa"/>
            <w:tcBorders>
              <w:top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磋商文件的技术商务条款</w:t>
            </w:r>
          </w:p>
        </w:tc>
        <w:tc>
          <w:tcPr>
            <w:tcW w:w="2269" w:type="dxa"/>
            <w:tcBorders>
              <w:top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响应文件承诺的技术商务条款</w:t>
            </w:r>
          </w:p>
        </w:tc>
        <w:tc>
          <w:tcPr>
            <w:tcW w:w="1620" w:type="dxa"/>
            <w:tcBorders>
              <w:top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偏离情况</w:t>
            </w:r>
          </w:p>
        </w:tc>
        <w:tc>
          <w:tcPr>
            <w:tcW w:w="1214" w:type="dxa"/>
            <w:tcBorders>
              <w:top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备注</w:t>
            </w:r>
          </w:p>
        </w:tc>
      </w:tr>
      <w:tr>
        <w:tblPrEx>
          <w:tblCellMar>
            <w:top w:w="0" w:type="dxa"/>
            <w:left w:w="108" w:type="dxa"/>
            <w:bottom w:w="0" w:type="dxa"/>
            <w:right w:w="108" w:type="dxa"/>
          </w:tblCellMar>
        </w:tblPrEx>
        <w:trPr>
          <w:cantSplit/>
          <w:trHeight w:val="609" w:hRule="atLeast"/>
        </w:trPr>
        <w:tc>
          <w:tcPr>
            <w:tcW w:w="1024" w:type="dxa"/>
            <w:tcBorders>
              <w:top w:val="single" w:color="000000" w:sz="4" w:space="0"/>
              <w:left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b/>
                <w:bCs/>
                <w:color w:val="auto"/>
                <w:sz w:val="24"/>
                <w:szCs w:val="24"/>
                <w:highlight w:val="none"/>
              </w:rPr>
            </w:pPr>
          </w:p>
        </w:tc>
        <w:tc>
          <w:tcPr>
            <w:tcW w:w="1275" w:type="dxa"/>
            <w:tcBorders>
              <w:top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b/>
                <w:bCs/>
                <w:color w:val="auto"/>
                <w:sz w:val="24"/>
                <w:szCs w:val="24"/>
                <w:highlight w:val="none"/>
              </w:rPr>
            </w:pPr>
          </w:p>
        </w:tc>
        <w:tc>
          <w:tcPr>
            <w:tcW w:w="2268" w:type="dxa"/>
            <w:tcBorders>
              <w:top w:val="single" w:color="000000" w:sz="4" w:space="0"/>
              <w:bottom w:val="single" w:color="000000" w:sz="4" w:space="0"/>
              <w:right w:val="single" w:color="000000" w:sz="4" w:space="0"/>
            </w:tcBorders>
            <w:vAlign w:val="center"/>
          </w:tcPr>
          <w:p>
            <w:pPr>
              <w:pStyle w:val="21"/>
              <w:shd w:val="clear"/>
              <w:spacing w:line="360" w:lineRule="auto"/>
              <w:ind w:right="-2"/>
              <w:rPr>
                <w:rFonts w:hint="eastAsia" w:ascii="黑体" w:hAnsi="黑体" w:eastAsia="黑体" w:cs="黑体"/>
                <w:b/>
                <w:bCs/>
                <w:color w:val="auto"/>
                <w:spacing w:val="-12"/>
                <w:sz w:val="24"/>
                <w:szCs w:val="24"/>
                <w:highlight w:val="none"/>
              </w:rPr>
            </w:pPr>
          </w:p>
        </w:tc>
        <w:tc>
          <w:tcPr>
            <w:tcW w:w="2269" w:type="dxa"/>
            <w:tcBorders>
              <w:top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b/>
                <w:bCs/>
                <w:color w:val="auto"/>
                <w:sz w:val="24"/>
                <w:szCs w:val="24"/>
                <w:highlight w:val="none"/>
              </w:rPr>
            </w:pPr>
          </w:p>
        </w:tc>
        <w:tc>
          <w:tcPr>
            <w:tcW w:w="1620" w:type="dxa"/>
            <w:tcBorders>
              <w:top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b/>
                <w:bCs/>
                <w:color w:val="auto"/>
                <w:sz w:val="24"/>
                <w:szCs w:val="24"/>
                <w:highlight w:val="none"/>
              </w:rPr>
            </w:pPr>
          </w:p>
        </w:tc>
        <w:tc>
          <w:tcPr>
            <w:tcW w:w="1214" w:type="dxa"/>
            <w:tcBorders>
              <w:top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b/>
                <w:bCs/>
                <w:color w:val="auto"/>
                <w:sz w:val="24"/>
                <w:szCs w:val="24"/>
                <w:highlight w:val="none"/>
              </w:rPr>
            </w:pPr>
          </w:p>
        </w:tc>
      </w:tr>
      <w:tr>
        <w:tblPrEx>
          <w:tblCellMar>
            <w:top w:w="0" w:type="dxa"/>
            <w:left w:w="108" w:type="dxa"/>
            <w:bottom w:w="0" w:type="dxa"/>
            <w:right w:w="108" w:type="dxa"/>
          </w:tblCellMar>
        </w:tblPrEx>
        <w:trPr>
          <w:cantSplit/>
          <w:trHeight w:val="609" w:hRule="atLeast"/>
        </w:trPr>
        <w:tc>
          <w:tcPr>
            <w:tcW w:w="1024" w:type="dxa"/>
            <w:tcBorders>
              <w:top w:val="single" w:color="000000" w:sz="4" w:space="0"/>
              <w:left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b/>
                <w:bCs/>
                <w:color w:val="auto"/>
                <w:sz w:val="24"/>
                <w:szCs w:val="24"/>
                <w:highlight w:val="none"/>
              </w:rPr>
            </w:pPr>
          </w:p>
        </w:tc>
        <w:tc>
          <w:tcPr>
            <w:tcW w:w="1275" w:type="dxa"/>
            <w:tcBorders>
              <w:top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b/>
                <w:bCs/>
                <w:color w:val="auto"/>
                <w:sz w:val="24"/>
                <w:szCs w:val="24"/>
                <w:highlight w:val="none"/>
              </w:rPr>
            </w:pPr>
          </w:p>
        </w:tc>
        <w:tc>
          <w:tcPr>
            <w:tcW w:w="2268" w:type="dxa"/>
            <w:tcBorders>
              <w:top w:val="single" w:color="000000" w:sz="4" w:space="0"/>
              <w:bottom w:val="single" w:color="000000" w:sz="4" w:space="0"/>
              <w:right w:val="single" w:color="000000" w:sz="4" w:space="0"/>
            </w:tcBorders>
            <w:vAlign w:val="center"/>
          </w:tcPr>
          <w:p>
            <w:pPr>
              <w:pStyle w:val="21"/>
              <w:shd w:val="clear"/>
              <w:spacing w:line="360" w:lineRule="auto"/>
              <w:ind w:right="-2"/>
              <w:rPr>
                <w:rFonts w:hint="eastAsia" w:ascii="黑体" w:hAnsi="黑体" w:eastAsia="黑体" w:cs="黑体"/>
                <w:color w:val="auto"/>
                <w:sz w:val="24"/>
                <w:szCs w:val="24"/>
                <w:highlight w:val="none"/>
              </w:rPr>
            </w:pPr>
          </w:p>
        </w:tc>
        <w:tc>
          <w:tcPr>
            <w:tcW w:w="2269" w:type="dxa"/>
            <w:tcBorders>
              <w:top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b/>
                <w:bCs/>
                <w:color w:val="auto"/>
                <w:sz w:val="24"/>
                <w:szCs w:val="24"/>
                <w:highlight w:val="none"/>
              </w:rPr>
            </w:pPr>
          </w:p>
        </w:tc>
        <w:tc>
          <w:tcPr>
            <w:tcW w:w="1620" w:type="dxa"/>
            <w:tcBorders>
              <w:top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b/>
                <w:bCs/>
                <w:color w:val="auto"/>
                <w:sz w:val="24"/>
                <w:szCs w:val="24"/>
                <w:highlight w:val="none"/>
              </w:rPr>
            </w:pPr>
          </w:p>
        </w:tc>
        <w:tc>
          <w:tcPr>
            <w:tcW w:w="1214" w:type="dxa"/>
            <w:tcBorders>
              <w:top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b/>
                <w:bCs/>
                <w:color w:val="auto"/>
                <w:sz w:val="24"/>
                <w:szCs w:val="24"/>
                <w:highlight w:val="none"/>
              </w:rPr>
            </w:pPr>
          </w:p>
        </w:tc>
      </w:tr>
      <w:tr>
        <w:tblPrEx>
          <w:tblCellMar>
            <w:top w:w="0" w:type="dxa"/>
            <w:left w:w="108" w:type="dxa"/>
            <w:bottom w:w="0" w:type="dxa"/>
            <w:right w:w="108" w:type="dxa"/>
          </w:tblCellMar>
        </w:tblPrEx>
        <w:trPr>
          <w:cantSplit/>
          <w:trHeight w:val="692" w:hRule="atLeast"/>
        </w:trPr>
        <w:tc>
          <w:tcPr>
            <w:tcW w:w="1024" w:type="dxa"/>
            <w:tcBorders>
              <w:top w:val="single" w:color="000000" w:sz="4" w:space="0"/>
              <w:left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b/>
                <w:bCs/>
                <w:color w:val="auto"/>
                <w:sz w:val="24"/>
                <w:szCs w:val="24"/>
                <w:highlight w:val="none"/>
              </w:rPr>
            </w:pPr>
          </w:p>
        </w:tc>
        <w:tc>
          <w:tcPr>
            <w:tcW w:w="1275" w:type="dxa"/>
            <w:tcBorders>
              <w:top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b/>
                <w:bCs/>
                <w:color w:val="auto"/>
                <w:sz w:val="24"/>
                <w:szCs w:val="24"/>
                <w:highlight w:val="none"/>
              </w:rPr>
            </w:pPr>
          </w:p>
        </w:tc>
        <w:tc>
          <w:tcPr>
            <w:tcW w:w="2268" w:type="dxa"/>
            <w:tcBorders>
              <w:top w:val="single" w:color="000000" w:sz="4" w:space="0"/>
              <w:bottom w:val="single" w:color="000000" w:sz="4" w:space="0"/>
              <w:right w:val="single" w:color="000000" w:sz="4" w:space="0"/>
            </w:tcBorders>
            <w:vAlign w:val="center"/>
          </w:tcPr>
          <w:p>
            <w:pPr>
              <w:pStyle w:val="21"/>
              <w:shd w:val="clear"/>
              <w:spacing w:line="360" w:lineRule="auto"/>
              <w:ind w:right="-2"/>
              <w:rPr>
                <w:rFonts w:hint="eastAsia" w:ascii="黑体" w:hAnsi="黑体" w:eastAsia="黑体" w:cs="黑体"/>
                <w:b/>
                <w:bCs/>
                <w:color w:val="auto"/>
                <w:spacing w:val="-12"/>
                <w:sz w:val="24"/>
                <w:szCs w:val="24"/>
                <w:highlight w:val="none"/>
              </w:rPr>
            </w:pPr>
          </w:p>
        </w:tc>
        <w:tc>
          <w:tcPr>
            <w:tcW w:w="2269" w:type="dxa"/>
            <w:tcBorders>
              <w:top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b/>
                <w:bCs/>
                <w:color w:val="auto"/>
                <w:sz w:val="24"/>
                <w:szCs w:val="24"/>
                <w:highlight w:val="none"/>
              </w:rPr>
            </w:pPr>
          </w:p>
        </w:tc>
        <w:tc>
          <w:tcPr>
            <w:tcW w:w="1620" w:type="dxa"/>
            <w:tcBorders>
              <w:top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b/>
                <w:bCs/>
                <w:color w:val="auto"/>
                <w:sz w:val="24"/>
                <w:szCs w:val="24"/>
                <w:highlight w:val="none"/>
              </w:rPr>
            </w:pPr>
          </w:p>
        </w:tc>
        <w:tc>
          <w:tcPr>
            <w:tcW w:w="1214" w:type="dxa"/>
            <w:tcBorders>
              <w:top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b/>
                <w:bCs/>
                <w:color w:val="auto"/>
                <w:sz w:val="24"/>
                <w:szCs w:val="24"/>
                <w:highlight w:val="none"/>
              </w:rPr>
            </w:pPr>
          </w:p>
        </w:tc>
      </w:tr>
      <w:tr>
        <w:tblPrEx>
          <w:tblCellMar>
            <w:top w:w="0" w:type="dxa"/>
            <w:left w:w="108" w:type="dxa"/>
            <w:bottom w:w="0" w:type="dxa"/>
            <w:right w:w="108" w:type="dxa"/>
          </w:tblCellMar>
        </w:tblPrEx>
        <w:trPr>
          <w:cantSplit/>
          <w:trHeight w:val="692" w:hRule="atLeast"/>
        </w:trPr>
        <w:tc>
          <w:tcPr>
            <w:tcW w:w="1024" w:type="dxa"/>
            <w:tcBorders>
              <w:top w:val="single" w:color="000000" w:sz="4" w:space="0"/>
              <w:left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b/>
                <w:bCs/>
                <w:color w:val="auto"/>
                <w:sz w:val="24"/>
                <w:szCs w:val="24"/>
                <w:highlight w:val="none"/>
              </w:rPr>
            </w:pPr>
          </w:p>
        </w:tc>
        <w:tc>
          <w:tcPr>
            <w:tcW w:w="1275" w:type="dxa"/>
            <w:tcBorders>
              <w:top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b/>
                <w:bCs/>
                <w:color w:val="auto"/>
                <w:sz w:val="24"/>
                <w:szCs w:val="24"/>
                <w:highlight w:val="none"/>
              </w:rPr>
            </w:pPr>
          </w:p>
        </w:tc>
        <w:tc>
          <w:tcPr>
            <w:tcW w:w="2268" w:type="dxa"/>
            <w:tcBorders>
              <w:top w:val="single" w:color="000000" w:sz="4" w:space="0"/>
              <w:bottom w:val="single" w:color="000000" w:sz="4" w:space="0"/>
              <w:right w:val="single" w:color="000000" w:sz="4" w:space="0"/>
            </w:tcBorders>
            <w:vAlign w:val="center"/>
          </w:tcPr>
          <w:p>
            <w:pPr>
              <w:pStyle w:val="21"/>
              <w:shd w:val="clear"/>
              <w:spacing w:line="360" w:lineRule="auto"/>
              <w:ind w:right="-2"/>
              <w:rPr>
                <w:rFonts w:hint="eastAsia" w:ascii="黑体" w:hAnsi="黑体" w:eastAsia="黑体" w:cs="黑体"/>
                <w:color w:val="auto"/>
                <w:sz w:val="24"/>
                <w:szCs w:val="24"/>
                <w:highlight w:val="none"/>
              </w:rPr>
            </w:pPr>
          </w:p>
        </w:tc>
        <w:tc>
          <w:tcPr>
            <w:tcW w:w="2269" w:type="dxa"/>
            <w:tcBorders>
              <w:top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b/>
                <w:bCs/>
                <w:color w:val="auto"/>
                <w:sz w:val="24"/>
                <w:szCs w:val="24"/>
                <w:highlight w:val="none"/>
              </w:rPr>
            </w:pPr>
          </w:p>
        </w:tc>
        <w:tc>
          <w:tcPr>
            <w:tcW w:w="1620" w:type="dxa"/>
            <w:tcBorders>
              <w:top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b/>
                <w:bCs/>
                <w:color w:val="auto"/>
                <w:sz w:val="24"/>
                <w:szCs w:val="24"/>
                <w:highlight w:val="none"/>
              </w:rPr>
            </w:pPr>
          </w:p>
        </w:tc>
        <w:tc>
          <w:tcPr>
            <w:tcW w:w="1214" w:type="dxa"/>
            <w:tcBorders>
              <w:top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b/>
                <w:bCs/>
                <w:color w:val="auto"/>
                <w:sz w:val="24"/>
                <w:szCs w:val="24"/>
                <w:highlight w:val="none"/>
              </w:rPr>
            </w:pPr>
          </w:p>
        </w:tc>
      </w:tr>
      <w:tr>
        <w:tblPrEx>
          <w:tblCellMar>
            <w:top w:w="0" w:type="dxa"/>
            <w:left w:w="108" w:type="dxa"/>
            <w:bottom w:w="0" w:type="dxa"/>
            <w:right w:w="108" w:type="dxa"/>
          </w:tblCellMar>
        </w:tblPrEx>
        <w:trPr>
          <w:cantSplit/>
          <w:trHeight w:val="692" w:hRule="atLeast"/>
        </w:trPr>
        <w:tc>
          <w:tcPr>
            <w:tcW w:w="1024" w:type="dxa"/>
            <w:tcBorders>
              <w:top w:val="single" w:color="000000" w:sz="4" w:space="0"/>
              <w:left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b/>
                <w:bCs/>
                <w:color w:val="auto"/>
                <w:sz w:val="24"/>
                <w:szCs w:val="24"/>
                <w:highlight w:val="none"/>
              </w:rPr>
            </w:pPr>
          </w:p>
        </w:tc>
        <w:tc>
          <w:tcPr>
            <w:tcW w:w="1275" w:type="dxa"/>
            <w:tcBorders>
              <w:top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b/>
                <w:bCs/>
                <w:color w:val="auto"/>
                <w:sz w:val="24"/>
                <w:szCs w:val="24"/>
                <w:highlight w:val="none"/>
              </w:rPr>
            </w:pPr>
          </w:p>
        </w:tc>
        <w:tc>
          <w:tcPr>
            <w:tcW w:w="2268" w:type="dxa"/>
            <w:tcBorders>
              <w:top w:val="single" w:color="000000" w:sz="4" w:space="0"/>
              <w:bottom w:val="single" w:color="000000" w:sz="4" w:space="0"/>
              <w:right w:val="single" w:color="000000" w:sz="4" w:space="0"/>
            </w:tcBorders>
            <w:vAlign w:val="center"/>
          </w:tcPr>
          <w:p>
            <w:pPr>
              <w:pStyle w:val="21"/>
              <w:shd w:val="clear"/>
              <w:spacing w:line="360" w:lineRule="auto"/>
              <w:ind w:right="-2"/>
              <w:rPr>
                <w:rFonts w:hint="eastAsia" w:ascii="黑体" w:hAnsi="黑体" w:eastAsia="黑体" w:cs="黑体"/>
                <w:color w:val="auto"/>
                <w:sz w:val="24"/>
                <w:szCs w:val="24"/>
                <w:highlight w:val="none"/>
              </w:rPr>
            </w:pPr>
          </w:p>
        </w:tc>
        <w:tc>
          <w:tcPr>
            <w:tcW w:w="2269" w:type="dxa"/>
            <w:tcBorders>
              <w:top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b/>
                <w:bCs/>
                <w:color w:val="auto"/>
                <w:sz w:val="24"/>
                <w:szCs w:val="24"/>
                <w:highlight w:val="none"/>
              </w:rPr>
            </w:pPr>
          </w:p>
        </w:tc>
        <w:tc>
          <w:tcPr>
            <w:tcW w:w="1620" w:type="dxa"/>
            <w:tcBorders>
              <w:top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b/>
                <w:bCs/>
                <w:color w:val="auto"/>
                <w:sz w:val="24"/>
                <w:szCs w:val="24"/>
                <w:highlight w:val="none"/>
              </w:rPr>
            </w:pPr>
          </w:p>
        </w:tc>
        <w:tc>
          <w:tcPr>
            <w:tcW w:w="1214" w:type="dxa"/>
            <w:tcBorders>
              <w:top w:val="single" w:color="000000" w:sz="4" w:space="0"/>
              <w:bottom w:val="single" w:color="000000" w:sz="4" w:space="0"/>
              <w:right w:val="single" w:color="000000" w:sz="4" w:space="0"/>
            </w:tcBorders>
            <w:vAlign w:val="center"/>
          </w:tcPr>
          <w:p>
            <w:pPr>
              <w:pStyle w:val="21"/>
              <w:shd w:val="clear"/>
              <w:spacing w:line="360" w:lineRule="auto"/>
              <w:jc w:val="center"/>
              <w:rPr>
                <w:rFonts w:hint="eastAsia" w:ascii="黑体" w:hAnsi="黑体" w:eastAsia="黑体" w:cs="黑体"/>
                <w:b/>
                <w:bCs/>
                <w:color w:val="auto"/>
                <w:sz w:val="24"/>
                <w:szCs w:val="24"/>
                <w:highlight w:val="none"/>
              </w:rPr>
            </w:pPr>
          </w:p>
        </w:tc>
      </w:tr>
    </w:tbl>
    <w:p>
      <w:pPr>
        <w:pStyle w:val="21"/>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w:t>
      </w:r>
    </w:p>
    <w:p>
      <w:pPr>
        <w:pStyle w:val="21"/>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注：</w:t>
      </w:r>
    </w:p>
    <w:p>
      <w:pPr>
        <w:pStyle w:val="21"/>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1、请逐条对应本项目磋商文件第四章“项目需求”中技术商务条款的要求，认真填写该表。</w:t>
      </w:r>
    </w:p>
    <w:p>
      <w:pPr>
        <w:pStyle w:val="21"/>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2、若磋商供应商有技术、商务偏离，应将磋商文件要求和供应商响应</w:t>
      </w:r>
      <w:r>
        <w:rPr>
          <w:rFonts w:hint="eastAsia" w:ascii="黑体" w:hAnsi="黑体" w:eastAsia="黑体" w:cs="黑体"/>
          <w:color w:val="auto"/>
          <w:sz w:val="24"/>
          <w:szCs w:val="24"/>
          <w:highlight w:val="none"/>
          <w:lang w:eastAsia="zh-CN"/>
        </w:rPr>
        <w:t>文件</w:t>
      </w:r>
      <w:r>
        <w:rPr>
          <w:rFonts w:hint="eastAsia" w:ascii="黑体" w:hAnsi="黑体" w:eastAsia="黑体" w:cs="黑体"/>
          <w:color w:val="auto"/>
          <w:sz w:val="24"/>
          <w:szCs w:val="24"/>
          <w:highlight w:val="none"/>
        </w:rPr>
        <w:t>承诺逐条对应</w:t>
      </w:r>
      <w:r>
        <w:rPr>
          <w:rFonts w:hint="eastAsia" w:ascii="黑体" w:hAnsi="黑体" w:eastAsia="黑体" w:cs="黑体"/>
          <w:color w:val="auto"/>
          <w:sz w:val="24"/>
          <w:szCs w:val="24"/>
          <w:highlight w:val="none"/>
          <w:lang w:eastAsia="zh-CN"/>
        </w:rPr>
        <w:t>地</w:t>
      </w:r>
      <w:r>
        <w:rPr>
          <w:rFonts w:hint="eastAsia" w:ascii="黑体" w:hAnsi="黑体" w:eastAsia="黑体" w:cs="黑体"/>
          <w:color w:val="auto"/>
          <w:sz w:val="24"/>
          <w:szCs w:val="24"/>
          <w:highlight w:val="none"/>
        </w:rPr>
        <w:t>填列在偏离表中，否则将认为磋商供应商未响应磋商文件的要求。若磋商供应商完全响应磋商文件所有技术、商务要求，则无需逐条列出技术商务条款，只需在“偏离情况”一栏中注明“无偏离，完全响应磋商文件所有要求”，</w:t>
      </w:r>
    </w:p>
    <w:p>
      <w:pPr>
        <w:pStyle w:val="21"/>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3、本表如有多页，应逐页加盖公章。</w:t>
      </w:r>
    </w:p>
    <w:p>
      <w:pPr>
        <w:pStyle w:val="22"/>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w:t>
      </w:r>
    </w:p>
    <w:p>
      <w:pPr>
        <w:pStyle w:val="22"/>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磋商供应商（全称并加盖公章）：</w:t>
      </w:r>
    </w:p>
    <w:p>
      <w:pPr>
        <w:pStyle w:val="21"/>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磋商供应商授权代表签字：</w:t>
      </w:r>
    </w:p>
    <w:p>
      <w:pPr>
        <w:pStyle w:val="21"/>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w:t>
      </w:r>
    </w:p>
    <w:p>
      <w:pPr>
        <w:pStyle w:val="21"/>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w:t>
      </w:r>
    </w:p>
    <w:p>
      <w:pPr>
        <w:pStyle w:val="21"/>
        <w:shd w:val="clear"/>
        <w:spacing w:line="360" w:lineRule="auto"/>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三、技术标其他格式自拟</w:t>
      </w:r>
    </w:p>
    <w:p>
      <w:pPr>
        <w:pStyle w:val="21"/>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w:t>
      </w:r>
      <w:r>
        <w:rPr>
          <w:rFonts w:hint="eastAsia" w:ascii="黑体" w:hAnsi="黑体" w:eastAsia="黑体" w:cs="黑体"/>
          <w:color w:val="auto"/>
          <w:highlight w:val="none"/>
        </w:rPr>
        <w:br w:type="page"/>
      </w:r>
    </w:p>
    <w:p>
      <w:pPr>
        <w:pStyle w:val="21"/>
        <w:shd w:val="clear"/>
        <w:snapToGrid w:val="0"/>
        <w:spacing w:line="360" w:lineRule="auto"/>
        <w:jc w:val="center"/>
        <w:outlineLvl w:val="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第三部分报价标文件（单独密封）</w:t>
      </w:r>
    </w:p>
    <w:p>
      <w:pPr>
        <w:pStyle w:val="21"/>
        <w:shd w:val="clea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w:t>
      </w:r>
    </w:p>
    <w:p>
      <w:pPr>
        <w:pStyle w:val="21"/>
        <w:shd w:val="clear"/>
        <w:spacing w:line="360" w:lineRule="auto"/>
        <w:jc w:val="center"/>
        <w:rPr>
          <w:rFonts w:hint="eastAsia" w:ascii="黑体" w:hAnsi="黑体" w:eastAsia="黑体" w:cs="黑体"/>
          <w:b/>
          <w:bCs/>
          <w:color w:val="auto"/>
          <w:sz w:val="28"/>
          <w:szCs w:val="28"/>
          <w:highlight w:val="none"/>
        </w:rPr>
      </w:pPr>
      <w:r>
        <w:rPr>
          <w:rFonts w:hint="eastAsia" w:ascii="黑体" w:hAnsi="黑体" w:eastAsia="黑体" w:cs="黑体"/>
          <w:color w:val="auto"/>
          <w:sz w:val="28"/>
          <w:szCs w:val="28"/>
          <w:highlight w:val="none"/>
        </w:rPr>
        <w:t>目录</w:t>
      </w:r>
    </w:p>
    <w:p>
      <w:pPr>
        <w:pStyle w:val="21"/>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1、封面</w:t>
      </w:r>
    </w:p>
    <w:p>
      <w:pPr>
        <w:pStyle w:val="21"/>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2、供应商响应文件报价表（第一次磋商报价）</w:t>
      </w:r>
    </w:p>
    <w:p>
      <w:pPr>
        <w:pStyle w:val="21"/>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3、供应商响应文件报价表（最终）</w:t>
      </w:r>
    </w:p>
    <w:p>
      <w:pPr>
        <w:pStyle w:val="22"/>
        <w:shd w:val="clea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w:t>
      </w:r>
    </w:p>
    <w:p>
      <w:pPr>
        <w:pStyle w:val="22"/>
        <w:shd w:val="clear"/>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注明：</w:t>
      </w:r>
    </w:p>
    <w:p>
      <w:pPr>
        <w:pStyle w:val="22"/>
        <w:shd w:val="clear"/>
        <w:ind w:firstLine="241" w:firstLineChars="100"/>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供应商响应文件报价表（最终），此表投标报价请空着，在开标现场填写，需提前加盖公章。</w:t>
      </w:r>
    </w:p>
    <w:p>
      <w:pPr>
        <w:pStyle w:val="22"/>
        <w:shd w:val="clear"/>
        <w:rPr>
          <w:rFonts w:hint="eastAsia" w:ascii="黑体" w:hAnsi="黑体" w:eastAsia="黑体" w:cs="黑体"/>
          <w:b/>
          <w:bCs/>
          <w:color w:val="auto"/>
          <w:highlight w:val="none"/>
        </w:rPr>
      </w:pPr>
      <w:r>
        <w:rPr>
          <w:rFonts w:hint="eastAsia" w:ascii="黑体" w:hAnsi="黑体" w:eastAsia="黑体" w:cs="黑体"/>
          <w:color w:val="auto"/>
          <w:highlight w:val="none"/>
        </w:rPr>
        <w:br w:type="page"/>
      </w:r>
    </w:p>
    <w:p>
      <w:pPr>
        <w:pStyle w:val="21"/>
        <w:shd w:val="clear"/>
        <w:jc w:val="center"/>
        <w:rPr>
          <w:rFonts w:hint="eastAsia" w:ascii="黑体" w:hAnsi="黑体" w:eastAsia="黑体" w:cs="黑体"/>
          <w:b/>
          <w:bCs/>
          <w:color w:val="auto"/>
          <w:sz w:val="24"/>
          <w:szCs w:val="24"/>
          <w:highlight w:val="none"/>
        </w:rPr>
      </w:pPr>
      <w:r>
        <w:rPr>
          <w:rFonts w:hint="eastAsia" w:ascii="黑体" w:hAnsi="黑体" w:eastAsia="黑体" w:cs="黑体"/>
          <w:color w:val="auto"/>
          <w:sz w:val="28"/>
          <w:szCs w:val="28"/>
          <w:highlight w:val="none"/>
        </w:rPr>
        <w:t>一、</w:t>
      </w:r>
      <w:r>
        <w:rPr>
          <w:rFonts w:hint="eastAsia" w:ascii="黑体" w:hAnsi="黑体" w:eastAsia="黑体" w:cs="黑体"/>
          <w:b/>
          <w:bCs/>
          <w:color w:val="auto"/>
          <w:sz w:val="24"/>
          <w:szCs w:val="24"/>
          <w:highlight w:val="none"/>
        </w:rPr>
        <w:t>供应商响应文件报价表（第一次磋商报价）</w:t>
      </w:r>
    </w:p>
    <w:p>
      <w:pPr>
        <w:pStyle w:val="21"/>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项目编号：  </w:t>
      </w:r>
    </w:p>
    <w:p>
      <w:pPr>
        <w:pStyle w:val="21"/>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包件号：</w:t>
      </w:r>
      <w:r>
        <w:rPr>
          <w:rFonts w:hint="eastAsia" w:ascii="黑体" w:hAnsi="黑体" w:eastAsia="黑体" w:cs="黑体"/>
          <w:color w:val="auto"/>
          <w:sz w:val="24"/>
          <w:szCs w:val="24"/>
          <w:highlight w:val="none"/>
        </w:rPr>
        <w:t xml:space="preserve">                                    </w:t>
      </w:r>
    </w:p>
    <w:tbl>
      <w:tblPr>
        <w:tblStyle w:val="15"/>
        <w:tblW w:w="9180" w:type="dxa"/>
        <w:jc w:val="center"/>
        <w:tblLayout w:type="fixed"/>
        <w:tblCellMar>
          <w:top w:w="0" w:type="dxa"/>
          <w:left w:w="108" w:type="dxa"/>
          <w:bottom w:w="0" w:type="dxa"/>
          <w:right w:w="108" w:type="dxa"/>
        </w:tblCellMar>
      </w:tblPr>
      <w:tblGrid>
        <w:gridCol w:w="861"/>
        <w:gridCol w:w="3759"/>
        <w:gridCol w:w="2076"/>
        <w:gridCol w:w="2484"/>
      </w:tblGrid>
      <w:tr>
        <w:tblPrEx>
          <w:tblCellMar>
            <w:top w:w="0" w:type="dxa"/>
            <w:left w:w="108" w:type="dxa"/>
            <w:bottom w:w="0" w:type="dxa"/>
            <w:right w:w="108" w:type="dxa"/>
          </w:tblCellMar>
        </w:tblPrEx>
        <w:trPr>
          <w:trHeight w:val="732" w:hRule="atLeast"/>
          <w:jc w:val="center"/>
        </w:trPr>
        <w:tc>
          <w:tcPr>
            <w:tcW w:w="860" w:type="dxa"/>
            <w:tcBorders>
              <w:top w:val="single" w:color="000000" w:sz="4" w:space="0"/>
              <w:left w:val="single" w:color="000000" w:sz="4" w:space="0"/>
              <w:bottom w:val="single" w:color="000000" w:sz="4" w:space="0"/>
              <w:right w:val="single" w:color="000000" w:sz="4" w:space="0"/>
            </w:tcBorders>
            <w:vAlign w:val="center"/>
          </w:tcPr>
          <w:p>
            <w:pPr>
              <w:pStyle w:val="21"/>
              <w:shd w:val="clear"/>
              <w:spacing w:line="400" w:lineRule="exact"/>
              <w:jc w:val="center"/>
              <w:rPr>
                <w:rFonts w:hint="eastAsia" w:ascii="黑体" w:hAnsi="黑体" w:eastAsia="黑体" w:cs="黑体"/>
                <w:color w:val="auto"/>
                <w:highlight w:val="none"/>
              </w:rPr>
            </w:pPr>
            <w:r>
              <w:rPr>
                <w:rFonts w:hint="eastAsia" w:ascii="黑体" w:hAnsi="黑体" w:eastAsia="黑体" w:cs="黑体"/>
                <w:color w:val="auto"/>
                <w:highlight w:val="none"/>
              </w:rPr>
              <w:t>序号</w:t>
            </w:r>
          </w:p>
        </w:tc>
        <w:tc>
          <w:tcPr>
            <w:tcW w:w="3759" w:type="dxa"/>
            <w:tcBorders>
              <w:top w:val="single" w:color="000000" w:sz="4" w:space="0"/>
              <w:bottom w:val="single" w:color="000000" w:sz="4" w:space="0"/>
              <w:right w:val="single" w:color="000000" w:sz="4" w:space="0"/>
            </w:tcBorders>
            <w:vAlign w:val="center"/>
          </w:tcPr>
          <w:p>
            <w:pPr>
              <w:pStyle w:val="21"/>
              <w:shd w:val="clear"/>
              <w:spacing w:line="400" w:lineRule="exact"/>
              <w:jc w:val="center"/>
              <w:rPr>
                <w:rFonts w:hint="eastAsia" w:ascii="黑体" w:hAnsi="黑体" w:eastAsia="黑体" w:cs="黑体"/>
                <w:color w:val="auto"/>
                <w:highlight w:val="none"/>
              </w:rPr>
            </w:pPr>
            <w:r>
              <w:rPr>
                <w:rFonts w:hint="eastAsia" w:ascii="黑体" w:hAnsi="黑体" w:eastAsia="黑体" w:cs="黑体"/>
                <w:color w:val="auto"/>
                <w:highlight w:val="none"/>
              </w:rPr>
              <w:t>项目名称</w:t>
            </w:r>
          </w:p>
        </w:tc>
        <w:tc>
          <w:tcPr>
            <w:tcW w:w="2076" w:type="dxa"/>
            <w:tcBorders>
              <w:top w:val="single" w:color="000000" w:sz="4" w:space="0"/>
              <w:bottom w:val="single" w:color="000000" w:sz="4" w:space="0"/>
              <w:right w:val="single" w:color="000000" w:sz="4" w:space="0"/>
            </w:tcBorders>
            <w:shd w:val="clear" w:color="auto" w:fill="FFFFFF"/>
            <w:vAlign w:val="center"/>
          </w:tcPr>
          <w:p>
            <w:pPr>
              <w:pStyle w:val="21"/>
              <w:shd w:val="clear"/>
              <w:spacing w:line="400" w:lineRule="exact"/>
              <w:jc w:val="center"/>
              <w:rPr>
                <w:rFonts w:hint="eastAsia" w:ascii="黑体" w:hAnsi="黑体" w:eastAsia="黑体" w:cs="黑体"/>
                <w:color w:val="auto"/>
                <w:highlight w:val="none"/>
              </w:rPr>
            </w:pPr>
            <w:r>
              <w:rPr>
                <w:rFonts w:hint="eastAsia" w:ascii="黑体" w:hAnsi="黑体" w:eastAsia="黑体" w:cs="黑体"/>
                <w:color w:val="auto"/>
                <w:highlight w:val="none"/>
              </w:rPr>
              <w:t xml:space="preserve"> 投标报价</w:t>
            </w:r>
          </w:p>
          <w:p>
            <w:pPr>
              <w:pStyle w:val="21"/>
              <w:shd w:val="clear"/>
              <w:spacing w:line="400" w:lineRule="exact"/>
              <w:jc w:val="center"/>
              <w:rPr>
                <w:rFonts w:hint="eastAsia" w:ascii="黑体" w:hAnsi="黑体" w:eastAsia="黑体" w:cs="黑体"/>
                <w:color w:val="auto"/>
                <w:highlight w:val="none"/>
              </w:rPr>
            </w:pPr>
            <w:r>
              <w:rPr>
                <w:rFonts w:hint="eastAsia" w:ascii="黑体" w:hAnsi="黑体" w:eastAsia="黑体" w:cs="黑体"/>
                <w:color w:val="auto"/>
                <w:highlight w:val="none"/>
              </w:rPr>
              <w:t>（万元/年）</w:t>
            </w:r>
          </w:p>
        </w:tc>
        <w:tc>
          <w:tcPr>
            <w:tcW w:w="2484" w:type="dxa"/>
            <w:tcBorders>
              <w:top w:val="single" w:color="000000" w:sz="4" w:space="0"/>
              <w:bottom w:val="single" w:color="000000" w:sz="4" w:space="0"/>
              <w:right w:val="single" w:color="000000" w:sz="4" w:space="0"/>
            </w:tcBorders>
            <w:shd w:val="clear" w:color="auto" w:fill="FFFFFF"/>
            <w:vAlign w:val="center"/>
          </w:tcPr>
          <w:p>
            <w:pPr>
              <w:pStyle w:val="21"/>
              <w:shd w:val="clear"/>
              <w:spacing w:line="400" w:lineRule="exact"/>
              <w:jc w:val="center"/>
              <w:rPr>
                <w:rFonts w:hint="eastAsia" w:ascii="黑体" w:hAnsi="黑体" w:eastAsia="黑体" w:cs="黑体"/>
                <w:color w:val="auto"/>
                <w:highlight w:val="none"/>
              </w:rPr>
            </w:pPr>
            <w:r>
              <w:rPr>
                <w:rFonts w:hint="eastAsia" w:ascii="黑体" w:hAnsi="黑体" w:eastAsia="黑体" w:cs="黑体"/>
                <w:color w:val="auto"/>
                <w:highlight w:val="none"/>
              </w:rPr>
              <w:t>最高限价（万元/年）</w:t>
            </w:r>
          </w:p>
        </w:tc>
      </w:tr>
      <w:tr>
        <w:tblPrEx>
          <w:tblCellMar>
            <w:top w:w="0" w:type="dxa"/>
            <w:left w:w="108" w:type="dxa"/>
            <w:bottom w:w="0" w:type="dxa"/>
            <w:right w:w="108" w:type="dxa"/>
          </w:tblCellMar>
        </w:tblPrEx>
        <w:trPr>
          <w:trHeight w:val="732" w:hRule="atLeast"/>
          <w:jc w:val="center"/>
        </w:trPr>
        <w:tc>
          <w:tcPr>
            <w:tcW w:w="860" w:type="dxa"/>
            <w:tcBorders>
              <w:top w:val="single" w:color="000000" w:sz="4" w:space="0"/>
              <w:left w:val="single" w:color="000000" w:sz="4" w:space="0"/>
              <w:bottom w:val="single" w:color="000000" w:sz="4" w:space="0"/>
              <w:right w:val="single" w:color="000000" w:sz="4" w:space="0"/>
            </w:tcBorders>
            <w:vAlign w:val="center"/>
          </w:tcPr>
          <w:p>
            <w:pPr>
              <w:pStyle w:val="21"/>
              <w:shd w:val="clear"/>
              <w:spacing w:line="400" w:lineRule="exact"/>
              <w:jc w:val="center"/>
              <w:rPr>
                <w:rFonts w:hint="eastAsia" w:ascii="黑体" w:hAnsi="黑体" w:eastAsia="黑体" w:cs="黑体"/>
                <w:color w:val="auto"/>
                <w:highlight w:val="none"/>
              </w:rPr>
            </w:pPr>
            <w:r>
              <w:rPr>
                <w:rFonts w:hint="eastAsia" w:ascii="黑体" w:hAnsi="黑体" w:eastAsia="黑体" w:cs="黑体"/>
                <w:color w:val="auto"/>
                <w:highlight w:val="none"/>
              </w:rPr>
              <w:t>1</w:t>
            </w:r>
          </w:p>
        </w:tc>
        <w:tc>
          <w:tcPr>
            <w:tcW w:w="3759" w:type="dxa"/>
            <w:tcBorders>
              <w:top w:val="single" w:color="000000" w:sz="4" w:space="0"/>
              <w:bottom w:val="single" w:color="000000" w:sz="4" w:space="0"/>
              <w:right w:val="single" w:color="000000" w:sz="4" w:space="0"/>
            </w:tcBorders>
            <w:vAlign w:val="center"/>
          </w:tcPr>
          <w:p>
            <w:pPr>
              <w:pStyle w:val="21"/>
              <w:shd w:val="clear"/>
              <w:spacing w:line="400" w:lineRule="exact"/>
              <w:jc w:val="center"/>
              <w:rPr>
                <w:rFonts w:hint="eastAsia" w:ascii="黑体" w:hAnsi="黑体" w:eastAsia="黑体" w:cs="黑体"/>
                <w:color w:val="auto"/>
                <w:highlight w:val="none"/>
              </w:rPr>
            </w:pPr>
          </w:p>
        </w:tc>
        <w:tc>
          <w:tcPr>
            <w:tcW w:w="2076" w:type="dxa"/>
            <w:tcBorders>
              <w:top w:val="single" w:color="000000" w:sz="4" w:space="0"/>
              <w:bottom w:val="single" w:color="000000" w:sz="4" w:space="0"/>
              <w:right w:val="single" w:color="000000" w:sz="4" w:space="0"/>
            </w:tcBorders>
            <w:vAlign w:val="center"/>
          </w:tcPr>
          <w:p>
            <w:pPr>
              <w:pStyle w:val="21"/>
              <w:shd w:val="clear"/>
              <w:spacing w:line="400" w:lineRule="exact"/>
              <w:jc w:val="center"/>
              <w:rPr>
                <w:rFonts w:hint="eastAsia" w:ascii="黑体" w:hAnsi="黑体" w:eastAsia="黑体" w:cs="黑体"/>
                <w:color w:val="auto"/>
                <w:highlight w:val="none"/>
              </w:rPr>
            </w:pPr>
          </w:p>
        </w:tc>
        <w:tc>
          <w:tcPr>
            <w:tcW w:w="2484" w:type="dxa"/>
            <w:tcBorders>
              <w:top w:val="single" w:color="000000" w:sz="4" w:space="0"/>
              <w:bottom w:val="single" w:color="000000" w:sz="4" w:space="0"/>
              <w:right w:val="single" w:color="000000" w:sz="4" w:space="0"/>
            </w:tcBorders>
            <w:vAlign w:val="center"/>
          </w:tcPr>
          <w:p>
            <w:pPr>
              <w:pStyle w:val="21"/>
              <w:shd w:val="clear"/>
              <w:spacing w:line="400" w:lineRule="exact"/>
              <w:jc w:val="center"/>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2.00</w:t>
            </w:r>
          </w:p>
        </w:tc>
      </w:tr>
      <w:tr>
        <w:tblPrEx>
          <w:tblCellMar>
            <w:top w:w="0" w:type="dxa"/>
            <w:left w:w="108" w:type="dxa"/>
            <w:bottom w:w="0" w:type="dxa"/>
            <w:right w:w="108" w:type="dxa"/>
          </w:tblCellMar>
        </w:tblPrEx>
        <w:trPr>
          <w:trHeight w:val="1047" w:hRule="atLeast"/>
          <w:jc w:val="center"/>
        </w:trPr>
        <w:tc>
          <w:tcPr>
            <w:tcW w:w="4619" w:type="dxa"/>
            <w:gridSpan w:val="2"/>
            <w:tcBorders>
              <w:top w:val="single" w:color="000000" w:sz="4" w:space="0"/>
              <w:left w:val="single" w:color="000000" w:sz="4" w:space="0"/>
              <w:bottom w:val="single" w:color="000000" w:sz="4" w:space="0"/>
              <w:right w:val="single" w:color="000000" w:sz="4" w:space="0"/>
            </w:tcBorders>
            <w:vAlign w:val="center"/>
          </w:tcPr>
          <w:p>
            <w:pPr>
              <w:pStyle w:val="21"/>
              <w:shd w:val="clear"/>
              <w:rPr>
                <w:rFonts w:hint="eastAsia" w:ascii="黑体" w:hAnsi="黑体" w:eastAsia="黑体" w:cs="黑体"/>
                <w:color w:val="auto"/>
                <w:highlight w:val="none"/>
              </w:rPr>
            </w:pPr>
            <w:r>
              <w:rPr>
                <w:rFonts w:hint="eastAsia" w:ascii="黑体" w:hAnsi="黑体" w:eastAsia="黑体" w:cs="黑体"/>
                <w:color w:val="auto"/>
                <w:highlight w:val="none"/>
              </w:rPr>
              <w:t xml:space="preserve">      备           注</w:t>
            </w:r>
          </w:p>
        </w:tc>
        <w:tc>
          <w:tcPr>
            <w:tcW w:w="4560" w:type="dxa"/>
            <w:gridSpan w:val="2"/>
            <w:tcBorders>
              <w:top w:val="single" w:color="000000" w:sz="4" w:space="0"/>
              <w:bottom w:val="single" w:color="000000" w:sz="4" w:space="0"/>
              <w:right w:val="single" w:color="000000" w:sz="4" w:space="0"/>
            </w:tcBorders>
            <w:vAlign w:val="center"/>
          </w:tcPr>
          <w:p>
            <w:pPr>
              <w:pStyle w:val="21"/>
              <w:shd w:val="clear"/>
              <w:spacing w:line="400" w:lineRule="exact"/>
              <w:rPr>
                <w:rFonts w:hint="eastAsia" w:ascii="黑体" w:hAnsi="黑体" w:eastAsia="黑体" w:cs="黑体"/>
                <w:color w:val="auto"/>
                <w:highlight w:val="none"/>
              </w:rPr>
            </w:pPr>
          </w:p>
        </w:tc>
      </w:tr>
    </w:tbl>
    <w:p>
      <w:pPr>
        <w:pStyle w:val="21"/>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w:t>
      </w:r>
    </w:p>
    <w:p>
      <w:pPr>
        <w:pStyle w:val="21"/>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法定代表人或者授权代表（签字或盖章）：                    </w:t>
      </w:r>
    </w:p>
    <w:p>
      <w:pPr>
        <w:pStyle w:val="21"/>
        <w:shd w:val="clear"/>
        <w:spacing w:line="360" w:lineRule="auto"/>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磋商供应商全称（盖章）：</w:t>
      </w:r>
    </w:p>
    <w:p>
      <w:pPr>
        <w:pStyle w:val="21"/>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日期：    年   月    日</w:t>
      </w:r>
    </w:p>
    <w:p>
      <w:pPr>
        <w:pStyle w:val="21"/>
        <w:shd w:val="clear"/>
        <w:spacing w:line="360" w:lineRule="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价格构成或报价要求：</w:t>
      </w:r>
    </w:p>
    <w:p>
      <w:pPr>
        <w:pStyle w:val="21"/>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1、此表可以根据需要自行增减行数，且该表报价非本次磋商中的最后报价。</w:t>
      </w:r>
    </w:p>
    <w:p>
      <w:pPr>
        <w:pStyle w:val="21"/>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2、项目如有分包，请各磋商供应商按投报的分包分别列表。</w:t>
      </w:r>
    </w:p>
    <w:p>
      <w:pPr>
        <w:spacing w:line="360" w:lineRule="auto"/>
        <w:jc w:val="lef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3、</w:t>
      </w:r>
      <w:r>
        <w:rPr>
          <w:rFonts w:hint="eastAsia" w:ascii="黑体" w:hAnsi="黑体" w:eastAsia="黑体" w:cs="黑体"/>
          <w:b/>
          <w:bCs/>
          <w:color w:val="auto"/>
          <w:kern w:val="0"/>
          <w:sz w:val="24"/>
          <w:szCs w:val="24"/>
          <w:highlight w:val="none"/>
        </w:rPr>
        <w:t>响应单位的报价（人民币）按总价报价，报价（以人民币计价）</w:t>
      </w:r>
      <w:r>
        <w:rPr>
          <w:rFonts w:hint="eastAsia" w:ascii="黑体" w:hAnsi="黑体" w:eastAsia="黑体" w:cs="黑体"/>
          <w:b/>
          <w:bCs/>
          <w:color w:val="auto"/>
          <w:kern w:val="0"/>
          <w:sz w:val="24"/>
          <w:szCs w:val="24"/>
          <w:highlight w:val="none"/>
          <w:lang w:eastAsia="zh-CN"/>
        </w:rPr>
        <w:t>应包括但不限于常年法律顾问服务费、律师值班费、市内交通费、通讯费、餐费 、管理费、人工费、税金、利润、招标代理费用等各项费用，即招标作业服务项目实施的所有费用以及包含响应招标文件采购要求的所有费用。</w:t>
      </w:r>
    </w:p>
    <w:p>
      <w:pPr>
        <w:pStyle w:val="21"/>
        <w:shd w:val="clear"/>
        <w:snapToGrid w:val="0"/>
        <w:spacing w:line="360" w:lineRule="auto"/>
        <w:rPr>
          <w:rFonts w:hint="eastAsia" w:ascii="黑体" w:hAnsi="黑体" w:eastAsia="黑体" w:cs="黑体"/>
          <w:color w:val="auto"/>
          <w:highlight w:val="none"/>
        </w:rPr>
      </w:pPr>
    </w:p>
    <w:p>
      <w:pPr>
        <w:pStyle w:val="21"/>
        <w:shd w:val="clear"/>
        <w:snapToGrid w:val="0"/>
        <w:spacing w:line="500" w:lineRule="exact"/>
        <w:rPr>
          <w:rFonts w:hint="eastAsia" w:ascii="黑体" w:hAnsi="黑体" w:eastAsia="黑体" w:cs="黑体"/>
          <w:color w:val="auto"/>
          <w:sz w:val="24"/>
          <w:szCs w:val="24"/>
          <w:highlight w:val="none"/>
        </w:rPr>
      </w:pPr>
    </w:p>
    <w:p>
      <w:pPr>
        <w:pStyle w:val="21"/>
        <w:shd w:val="clear"/>
        <w:snapToGrid w:val="0"/>
        <w:spacing w:line="520" w:lineRule="exact"/>
        <w:rPr>
          <w:rFonts w:hint="eastAsia" w:ascii="黑体" w:hAnsi="黑体" w:eastAsia="黑体" w:cs="黑体"/>
          <w:color w:val="auto"/>
          <w:sz w:val="23"/>
          <w:szCs w:val="23"/>
          <w:highlight w:val="none"/>
        </w:rPr>
      </w:pPr>
      <w:r>
        <w:rPr>
          <w:rFonts w:hint="eastAsia" w:ascii="黑体" w:hAnsi="黑体" w:eastAsia="黑体" w:cs="黑体"/>
          <w:color w:val="auto"/>
          <w:sz w:val="23"/>
          <w:szCs w:val="23"/>
          <w:highlight w:val="none"/>
        </w:rPr>
        <w:t xml:space="preserve"> </w:t>
      </w:r>
    </w:p>
    <w:p>
      <w:pPr>
        <w:pStyle w:val="21"/>
        <w:shd w:val="clear"/>
        <w:snapToGrid w:val="0"/>
        <w:spacing w:line="50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w:t>
      </w:r>
    </w:p>
    <w:p>
      <w:pPr>
        <w:pStyle w:val="21"/>
        <w:shd w:val="clear"/>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 xml:space="preserve"> </w:t>
      </w:r>
    </w:p>
    <w:p>
      <w:pPr>
        <w:pStyle w:val="21"/>
        <w:shd w:val="clear"/>
        <w:rPr>
          <w:rFonts w:hint="eastAsia" w:ascii="黑体" w:hAnsi="黑体" w:eastAsia="黑体" w:cs="黑体"/>
          <w:b/>
          <w:bCs/>
          <w:color w:val="auto"/>
          <w:sz w:val="28"/>
          <w:szCs w:val="28"/>
          <w:highlight w:val="none"/>
        </w:rPr>
      </w:pPr>
      <w:r>
        <w:rPr>
          <w:rFonts w:hint="eastAsia" w:ascii="黑体" w:hAnsi="黑体" w:eastAsia="黑体" w:cs="黑体"/>
          <w:color w:val="auto"/>
          <w:highlight w:val="none"/>
        </w:rPr>
        <w:br w:type="page"/>
      </w:r>
    </w:p>
    <w:p>
      <w:pPr>
        <w:pStyle w:val="21"/>
        <w:shd w:val="clear"/>
        <w:jc w:val="center"/>
        <w:rPr>
          <w:rFonts w:hint="eastAsia" w:ascii="黑体" w:hAnsi="黑体" w:eastAsia="黑体" w:cs="黑体"/>
          <w:color w:val="auto"/>
          <w:kern w:val="0"/>
          <w:sz w:val="28"/>
          <w:szCs w:val="28"/>
          <w:highlight w:val="none"/>
        </w:rPr>
      </w:pPr>
      <w:r>
        <w:rPr>
          <w:rFonts w:hint="eastAsia" w:ascii="黑体" w:hAnsi="黑体" w:eastAsia="黑体" w:cs="黑体"/>
          <w:b/>
          <w:bCs/>
          <w:color w:val="auto"/>
          <w:sz w:val="28"/>
          <w:szCs w:val="28"/>
          <w:highlight w:val="none"/>
        </w:rPr>
        <w:t>二、供应商响应文件报价表（最终）</w:t>
      </w:r>
    </w:p>
    <w:p>
      <w:pPr>
        <w:pStyle w:val="21"/>
        <w:shd w:val="clear"/>
        <w:autoSpaceDE w:val="0"/>
        <w:autoSpaceDN w:val="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项目编号：</w:t>
      </w:r>
    </w:p>
    <w:p>
      <w:pPr>
        <w:pStyle w:val="21"/>
        <w:shd w:val="clear"/>
        <w:spacing w:line="360" w:lineRule="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包件号：</w:t>
      </w:r>
    </w:p>
    <w:tbl>
      <w:tblPr>
        <w:tblStyle w:val="15"/>
        <w:tblW w:w="9180" w:type="dxa"/>
        <w:jc w:val="center"/>
        <w:tblLayout w:type="fixed"/>
        <w:tblCellMar>
          <w:top w:w="0" w:type="dxa"/>
          <w:left w:w="108" w:type="dxa"/>
          <w:bottom w:w="0" w:type="dxa"/>
          <w:right w:w="108" w:type="dxa"/>
        </w:tblCellMar>
      </w:tblPr>
      <w:tblGrid>
        <w:gridCol w:w="861"/>
        <w:gridCol w:w="3759"/>
        <w:gridCol w:w="2076"/>
        <w:gridCol w:w="2484"/>
      </w:tblGrid>
      <w:tr>
        <w:tblPrEx>
          <w:tblCellMar>
            <w:top w:w="0" w:type="dxa"/>
            <w:left w:w="108" w:type="dxa"/>
            <w:bottom w:w="0" w:type="dxa"/>
            <w:right w:w="108" w:type="dxa"/>
          </w:tblCellMar>
        </w:tblPrEx>
        <w:trPr>
          <w:trHeight w:val="732" w:hRule="atLeast"/>
          <w:jc w:val="center"/>
        </w:trPr>
        <w:tc>
          <w:tcPr>
            <w:tcW w:w="860" w:type="dxa"/>
            <w:tcBorders>
              <w:top w:val="single" w:color="000000" w:sz="4" w:space="0"/>
              <w:left w:val="single" w:color="000000" w:sz="4" w:space="0"/>
              <w:bottom w:val="single" w:color="000000" w:sz="4" w:space="0"/>
              <w:right w:val="single" w:color="000000" w:sz="4" w:space="0"/>
            </w:tcBorders>
            <w:vAlign w:val="center"/>
          </w:tcPr>
          <w:p>
            <w:pPr>
              <w:pStyle w:val="21"/>
              <w:shd w:val="clear"/>
              <w:spacing w:line="400" w:lineRule="exact"/>
              <w:jc w:val="center"/>
              <w:rPr>
                <w:rFonts w:hint="eastAsia" w:ascii="黑体" w:hAnsi="黑体" w:eastAsia="黑体" w:cs="黑体"/>
                <w:color w:val="auto"/>
                <w:highlight w:val="none"/>
              </w:rPr>
            </w:pPr>
            <w:r>
              <w:rPr>
                <w:rFonts w:hint="eastAsia" w:ascii="黑体" w:hAnsi="黑体" w:eastAsia="黑体" w:cs="黑体"/>
                <w:color w:val="auto"/>
                <w:highlight w:val="none"/>
              </w:rPr>
              <w:t>序号</w:t>
            </w:r>
          </w:p>
        </w:tc>
        <w:tc>
          <w:tcPr>
            <w:tcW w:w="3759" w:type="dxa"/>
            <w:tcBorders>
              <w:top w:val="single" w:color="000000" w:sz="4" w:space="0"/>
              <w:bottom w:val="single" w:color="000000" w:sz="4" w:space="0"/>
              <w:right w:val="single" w:color="000000" w:sz="4" w:space="0"/>
            </w:tcBorders>
            <w:vAlign w:val="center"/>
          </w:tcPr>
          <w:p>
            <w:pPr>
              <w:pStyle w:val="21"/>
              <w:shd w:val="clear"/>
              <w:spacing w:line="400" w:lineRule="exact"/>
              <w:jc w:val="center"/>
              <w:rPr>
                <w:rFonts w:hint="eastAsia" w:ascii="黑体" w:hAnsi="黑体" w:eastAsia="黑体" w:cs="黑体"/>
                <w:color w:val="auto"/>
                <w:highlight w:val="none"/>
              </w:rPr>
            </w:pPr>
            <w:r>
              <w:rPr>
                <w:rFonts w:hint="eastAsia" w:ascii="黑体" w:hAnsi="黑体" w:eastAsia="黑体" w:cs="黑体"/>
                <w:color w:val="auto"/>
                <w:highlight w:val="none"/>
              </w:rPr>
              <w:t>项目名称</w:t>
            </w:r>
          </w:p>
        </w:tc>
        <w:tc>
          <w:tcPr>
            <w:tcW w:w="2076" w:type="dxa"/>
            <w:tcBorders>
              <w:top w:val="single" w:color="000000" w:sz="4" w:space="0"/>
              <w:bottom w:val="single" w:color="000000" w:sz="4" w:space="0"/>
              <w:right w:val="single" w:color="000000" w:sz="4" w:space="0"/>
            </w:tcBorders>
            <w:shd w:val="clear" w:color="auto" w:fill="FFFFFF"/>
            <w:vAlign w:val="center"/>
          </w:tcPr>
          <w:p>
            <w:pPr>
              <w:pStyle w:val="21"/>
              <w:shd w:val="clear"/>
              <w:spacing w:line="400" w:lineRule="exact"/>
              <w:jc w:val="center"/>
              <w:rPr>
                <w:rFonts w:hint="eastAsia" w:ascii="黑体" w:hAnsi="黑体" w:eastAsia="黑体" w:cs="黑体"/>
                <w:color w:val="auto"/>
                <w:highlight w:val="none"/>
              </w:rPr>
            </w:pPr>
            <w:r>
              <w:rPr>
                <w:rFonts w:hint="eastAsia" w:ascii="黑体" w:hAnsi="黑体" w:eastAsia="黑体" w:cs="黑体"/>
                <w:color w:val="auto"/>
                <w:highlight w:val="none"/>
              </w:rPr>
              <w:t xml:space="preserve"> 投标报价</w:t>
            </w:r>
          </w:p>
          <w:p>
            <w:pPr>
              <w:pStyle w:val="21"/>
              <w:shd w:val="clear"/>
              <w:spacing w:line="400" w:lineRule="exact"/>
              <w:jc w:val="center"/>
              <w:rPr>
                <w:rFonts w:hint="eastAsia" w:ascii="黑体" w:hAnsi="黑体" w:eastAsia="黑体" w:cs="黑体"/>
                <w:color w:val="auto"/>
                <w:highlight w:val="none"/>
              </w:rPr>
            </w:pPr>
            <w:r>
              <w:rPr>
                <w:rFonts w:hint="eastAsia" w:ascii="黑体" w:hAnsi="黑体" w:eastAsia="黑体" w:cs="黑体"/>
                <w:color w:val="auto"/>
                <w:highlight w:val="none"/>
              </w:rPr>
              <w:t>（万元/年）</w:t>
            </w:r>
          </w:p>
        </w:tc>
        <w:tc>
          <w:tcPr>
            <w:tcW w:w="2484" w:type="dxa"/>
            <w:tcBorders>
              <w:top w:val="single" w:color="000000" w:sz="4" w:space="0"/>
              <w:bottom w:val="single" w:color="000000" w:sz="4" w:space="0"/>
              <w:right w:val="single" w:color="000000" w:sz="4" w:space="0"/>
            </w:tcBorders>
            <w:shd w:val="clear" w:color="auto" w:fill="FFFFFF"/>
            <w:vAlign w:val="center"/>
          </w:tcPr>
          <w:p>
            <w:pPr>
              <w:pStyle w:val="21"/>
              <w:shd w:val="clear"/>
              <w:spacing w:line="400" w:lineRule="exact"/>
              <w:jc w:val="center"/>
              <w:rPr>
                <w:rFonts w:hint="eastAsia" w:ascii="黑体" w:hAnsi="黑体" w:eastAsia="黑体" w:cs="黑体"/>
                <w:color w:val="auto"/>
                <w:highlight w:val="none"/>
              </w:rPr>
            </w:pPr>
            <w:r>
              <w:rPr>
                <w:rFonts w:hint="eastAsia" w:ascii="黑体" w:hAnsi="黑体" w:eastAsia="黑体" w:cs="黑体"/>
                <w:color w:val="auto"/>
                <w:highlight w:val="none"/>
              </w:rPr>
              <w:t>最高限价（万元/年）</w:t>
            </w:r>
          </w:p>
        </w:tc>
      </w:tr>
      <w:tr>
        <w:tblPrEx>
          <w:tblCellMar>
            <w:top w:w="0" w:type="dxa"/>
            <w:left w:w="108" w:type="dxa"/>
            <w:bottom w:w="0" w:type="dxa"/>
            <w:right w:w="108" w:type="dxa"/>
          </w:tblCellMar>
        </w:tblPrEx>
        <w:trPr>
          <w:trHeight w:val="732" w:hRule="atLeast"/>
          <w:jc w:val="center"/>
        </w:trPr>
        <w:tc>
          <w:tcPr>
            <w:tcW w:w="860" w:type="dxa"/>
            <w:tcBorders>
              <w:top w:val="single" w:color="000000" w:sz="4" w:space="0"/>
              <w:left w:val="single" w:color="000000" w:sz="4" w:space="0"/>
              <w:bottom w:val="single" w:color="000000" w:sz="4" w:space="0"/>
              <w:right w:val="single" w:color="000000" w:sz="4" w:space="0"/>
            </w:tcBorders>
            <w:vAlign w:val="center"/>
          </w:tcPr>
          <w:p>
            <w:pPr>
              <w:pStyle w:val="21"/>
              <w:shd w:val="clear"/>
              <w:spacing w:line="400" w:lineRule="exact"/>
              <w:jc w:val="center"/>
              <w:rPr>
                <w:rFonts w:hint="eastAsia" w:ascii="黑体" w:hAnsi="黑体" w:eastAsia="黑体" w:cs="黑体"/>
                <w:color w:val="auto"/>
                <w:highlight w:val="none"/>
              </w:rPr>
            </w:pPr>
            <w:r>
              <w:rPr>
                <w:rFonts w:hint="eastAsia" w:ascii="黑体" w:hAnsi="黑体" w:eastAsia="黑体" w:cs="黑体"/>
                <w:color w:val="auto"/>
                <w:highlight w:val="none"/>
              </w:rPr>
              <w:t>1</w:t>
            </w:r>
          </w:p>
        </w:tc>
        <w:tc>
          <w:tcPr>
            <w:tcW w:w="3759" w:type="dxa"/>
            <w:tcBorders>
              <w:top w:val="single" w:color="000000" w:sz="4" w:space="0"/>
              <w:bottom w:val="single" w:color="000000" w:sz="4" w:space="0"/>
              <w:right w:val="single" w:color="000000" w:sz="4" w:space="0"/>
            </w:tcBorders>
            <w:vAlign w:val="center"/>
          </w:tcPr>
          <w:p>
            <w:pPr>
              <w:pStyle w:val="21"/>
              <w:shd w:val="clear"/>
              <w:spacing w:line="400" w:lineRule="exact"/>
              <w:jc w:val="center"/>
              <w:rPr>
                <w:rFonts w:hint="eastAsia" w:ascii="黑体" w:hAnsi="黑体" w:eastAsia="黑体" w:cs="黑体"/>
                <w:color w:val="auto"/>
                <w:highlight w:val="none"/>
              </w:rPr>
            </w:pPr>
          </w:p>
        </w:tc>
        <w:tc>
          <w:tcPr>
            <w:tcW w:w="2076" w:type="dxa"/>
            <w:tcBorders>
              <w:top w:val="single" w:color="000000" w:sz="4" w:space="0"/>
              <w:bottom w:val="single" w:color="000000" w:sz="4" w:space="0"/>
              <w:right w:val="single" w:color="000000" w:sz="4" w:space="0"/>
            </w:tcBorders>
            <w:vAlign w:val="center"/>
          </w:tcPr>
          <w:p>
            <w:pPr>
              <w:pStyle w:val="21"/>
              <w:shd w:val="clear"/>
              <w:spacing w:line="400" w:lineRule="exact"/>
              <w:jc w:val="center"/>
              <w:rPr>
                <w:rFonts w:hint="eastAsia" w:ascii="黑体" w:hAnsi="黑体" w:eastAsia="黑体" w:cs="黑体"/>
                <w:color w:val="auto"/>
                <w:highlight w:val="none"/>
              </w:rPr>
            </w:pPr>
          </w:p>
        </w:tc>
        <w:tc>
          <w:tcPr>
            <w:tcW w:w="2484" w:type="dxa"/>
            <w:tcBorders>
              <w:top w:val="single" w:color="000000" w:sz="4" w:space="0"/>
              <w:bottom w:val="single" w:color="000000" w:sz="4" w:space="0"/>
              <w:right w:val="single" w:color="000000" w:sz="4" w:space="0"/>
            </w:tcBorders>
            <w:vAlign w:val="center"/>
          </w:tcPr>
          <w:p>
            <w:pPr>
              <w:pStyle w:val="21"/>
              <w:shd w:val="clear"/>
              <w:spacing w:line="400" w:lineRule="exact"/>
              <w:jc w:val="center"/>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2.00</w:t>
            </w:r>
          </w:p>
        </w:tc>
      </w:tr>
      <w:tr>
        <w:tblPrEx>
          <w:tblCellMar>
            <w:top w:w="0" w:type="dxa"/>
            <w:left w:w="108" w:type="dxa"/>
            <w:bottom w:w="0" w:type="dxa"/>
            <w:right w:w="108" w:type="dxa"/>
          </w:tblCellMar>
        </w:tblPrEx>
        <w:trPr>
          <w:trHeight w:val="1047" w:hRule="atLeast"/>
          <w:jc w:val="center"/>
        </w:trPr>
        <w:tc>
          <w:tcPr>
            <w:tcW w:w="4619" w:type="dxa"/>
            <w:gridSpan w:val="2"/>
            <w:tcBorders>
              <w:top w:val="single" w:color="000000" w:sz="4" w:space="0"/>
              <w:left w:val="single" w:color="000000" w:sz="4" w:space="0"/>
              <w:bottom w:val="single" w:color="000000" w:sz="4" w:space="0"/>
              <w:right w:val="single" w:color="000000" w:sz="4" w:space="0"/>
            </w:tcBorders>
            <w:vAlign w:val="center"/>
          </w:tcPr>
          <w:p>
            <w:pPr>
              <w:pStyle w:val="21"/>
              <w:shd w:val="clear"/>
              <w:rPr>
                <w:rFonts w:hint="eastAsia" w:ascii="黑体" w:hAnsi="黑体" w:eastAsia="黑体" w:cs="黑体"/>
                <w:color w:val="auto"/>
                <w:highlight w:val="none"/>
                <w:lang w:eastAsia="zh-CN"/>
              </w:rPr>
            </w:pPr>
            <w:r>
              <w:rPr>
                <w:rFonts w:hint="eastAsia" w:ascii="黑体" w:hAnsi="黑体" w:eastAsia="黑体" w:cs="黑体"/>
                <w:color w:val="auto"/>
                <w:highlight w:val="none"/>
              </w:rPr>
              <w:t xml:space="preserve">   </w:t>
            </w:r>
            <w:r>
              <w:rPr>
                <w:rFonts w:hint="eastAsia" w:ascii="黑体" w:hAnsi="黑体" w:eastAsia="黑体" w:cs="黑体"/>
                <w:color w:val="auto"/>
                <w:highlight w:val="none"/>
                <w:lang w:val="en-US" w:eastAsia="zh-CN"/>
              </w:rPr>
              <w:t xml:space="preserve">        承 诺 书</w:t>
            </w:r>
          </w:p>
        </w:tc>
        <w:tc>
          <w:tcPr>
            <w:tcW w:w="4560" w:type="dxa"/>
            <w:gridSpan w:val="2"/>
            <w:tcBorders>
              <w:top w:val="single" w:color="000000" w:sz="4" w:space="0"/>
              <w:bottom w:val="single" w:color="000000" w:sz="4" w:space="0"/>
              <w:right w:val="single" w:color="000000" w:sz="4" w:space="0"/>
            </w:tcBorders>
            <w:vAlign w:val="center"/>
          </w:tcPr>
          <w:p>
            <w:pPr>
              <w:pStyle w:val="21"/>
              <w:shd w:val="clear"/>
              <w:spacing w:line="400" w:lineRule="exact"/>
              <w:rPr>
                <w:rFonts w:hint="eastAsia" w:ascii="黑体" w:hAnsi="黑体" w:eastAsia="黑体" w:cs="黑体"/>
                <w:color w:val="auto"/>
                <w:highlight w:val="none"/>
              </w:rPr>
            </w:pPr>
            <w:r>
              <w:rPr>
                <w:rFonts w:hint="eastAsia" w:ascii="黑体" w:hAnsi="黑体" w:eastAsia="黑体" w:cs="黑体"/>
                <w:color w:val="auto"/>
                <w:highlight w:val="none"/>
              </w:rPr>
              <w:t>本项目最终报价包括自项目委托起至完成招标文件规定的全部工作内容，我单位承诺不再收取其它任何费用，不以任何现场情况及矛盾作为理由拒绝签署项目合同书或履行所约定的各项义务。</w:t>
            </w:r>
          </w:p>
        </w:tc>
      </w:tr>
    </w:tbl>
    <w:p>
      <w:pPr>
        <w:pStyle w:val="21"/>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法定代表人或者授权代表（签字或盖章）：                    </w:t>
      </w:r>
    </w:p>
    <w:p>
      <w:pPr>
        <w:pStyle w:val="21"/>
        <w:shd w:val="clear"/>
        <w:spacing w:line="360" w:lineRule="auto"/>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磋商供应商全称（盖章）：</w:t>
      </w:r>
    </w:p>
    <w:p>
      <w:pPr>
        <w:pStyle w:val="21"/>
        <w:shd w:val="clea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日期：    年   月    日</w:t>
      </w:r>
    </w:p>
    <w:p>
      <w:pPr>
        <w:pStyle w:val="21"/>
        <w:shd w:val="clear"/>
        <w:snapToGrid w:val="0"/>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注：</w:t>
      </w:r>
    </w:p>
    <w:p>
      <w:pPr>
        <w:pStyle w:val="21"/>
        <w:shd w:val="clear"/>
        <w:snapToGrid w:val="0"/>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1、本表为样表，具体可以自行调整。</w:t>
      </w:r>
    </w:p>
    <w:p>
      <w:pPr>
        <w:pStyle w:val="21"/>
        <w:shd w:val="clear"/>
        <w:snapToGrid w:val="0"/>
        <w:spacing w:line="360" w:lineRule="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2、最终报价表将在磋商现场填写，可密封在竞争性磋商响应文件中，竞争性磋商响应文件密封提交时只需填写磋商响应报价表（此表请各响应商提前盖好公章带至磋商现场填写）。</w:t>
      </w:r>
    </w:p>
    <w:p>
      <w:pPr>
        <w:spacing w:line="360" w:lineRule="auto"/>
        <w:jc w:val="left"/>
        <w:rPr>
          <w:rFonts w:hint="eastAsia" w:ascii="黑体" w:hAnsi="黑体" w:eastAsia="黑体" w:cs="黑体"/>
          <w:color w:val="auto"/>
          <w:sz w:val="24"/>
          <w:szCs w:val="24"/>
          <w:highlight w:val="none"/>
          <w:lang w:eastAsia="zh-CN"/>
        </w:rPr>
      </w:pPr>
      <w:r>
        <w:rPr>
          <w:rFonts w:hint="eastAsia" w:ascii="黑体" w:hAnsi="黑体" w:eastAsia="黑体" w:cs="黑体"/>
          <w:color w:val="auto"/>
          <w:kern w:val="0"/>
          <w:sz w:val="24"/>
          <w:szCs w:val="24"/>
          <w:highlight w:val="none"/>
        </w:rPr>
        <w:t>3、响应单位的报价（人民币）按总价报价，报价（以人民币计价）</w:t>
      </w:r>
      <w:r>
        <w:rPr>
          <w:rFonts w:hint="eastAsia" w:ascii="黑体" w:hAnsi="黑体" w:eastAsia="黑体" w:cs="黑体"/>
          <w:color w:val="auto"/>
          <w:kern w:val="0"/>
          <w:sz w:val="24"/>
          <w:szCs w:val="24"/>
          <w:highlight w:val="none"/>
          <w:lang w:eastAsia="zh-CN"/>
        </w:rPr>
        <w:t>应包括但不限于</w:t>
      </w:r>
      <w:r>
        <w:rPr>
          <w:rFonts w:hint="eastAsia" w:ascii="黑体" w:hAnsi="黑体" w:eastAsia="黑体" w:cs="黑体"/>
          <w:color w:val="auto"/>
          <w:sz w:val="23"/>
          <w:szCs w:val="23"/>
          <w:highlight w:val="none"/>
          <w:lang w:eastAsia="zh-CN"/>
        </w:rPr>
        <w:t>常年法律顾问服务费、律师值班费、市内交通费、通讯费、餐费 、管理费、人工费、税金、利润、招标代理费用等各项费用，即招标作业服务项目实施的所有费用以及包含响应招标文件采购要求的所有费用。</w:t>
      </w:r>
    </w:p>
    <w:p>
      <w:pPr>
        <w:pStyle w:val="21"/>
        <w:shd w:val="clear"/>
        <w:snapToGrid w:val="0"/>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4、最后一次报价不得高于前一次报价。</w:t>
      </w:r>
    </w:p>
    <w:p>
      <w:pPr>
        <w:shd w:val="clear"/>
        <w:rPr>
          <w:rFonts w:hint="eastAsia" w:ascii="黑体" w:hAnsi="黑体" w:eastAsia="黑体" w:cs="黑体"/>
          <w:color w:val="auto"/>
          <w:highlight w:val="none"/>
        </w:rPr>
      </w:pPr>
    </w:p>
    <w:sectPr>
      <w:footerReference r:id="rId4" w:type="default"/>
      <w:pgSz w:w="11906" w:h="16838"/>
      <w:pgMar w:top="1803" w:right="1440" w:bottom="1803" w:left="1440" w:header="0" w:footer="992" w:gutter="0"/>
      <w:pgNumType w:start="1"/>
      <w:cols w:space="720" w:num="1"/>
      <w:formProt w:val="0"/>
      <w:docGrid w:type="lines" w:linePitch="312" w:charSpace="430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Mangal">
    <w:altName w:val="Segoe Print"/>
    <w:panose1 w:val="00000400000000000000"/>
    <w:charset w:val="01"/>
    <w:family w:val="roman"/>
    <w:pitch w:val="default"/>
    <w:sig w:usb0="00000000" w:usb1="00000000" w:usb2="00000000" w:usb3="00000000" w:csb0="00000000" w:csb1="00000000"/>
  </w:font>
  <w:font w:name="??_GB2312">
    <w:altName w:val="宋体"/>
    <w:panose1 w:val="00000000000000000000"/>
    <w:charset w:val="86"/>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jc w:val="center"/>
                          </w:pPr>
                          <w:r>
                            <w:fldChar w:fldCharType="begin"/>
                          </w:r>
                          <w:r>
                            <w:instrText xml:space="preserve">PAGE</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0"/>
                      <w:jc w:val="center"/>
                    </w:pPr>
                    <w:r>
                      <w:fldChar w:fldCharType="begin"/>
                    </w:r>
                    <w:r>
                      <w:instrText xml:space="preserve">PAGE</w:instrText>
                    </w:r>
                    <w:r>
                      <w:fldChar w:fldCharType="separate"/>
                    </w:r>
                    <w:r>
                      <w:t>28</w:t>
                    </w:r>
                    <w:r>
                      <w:fldChar w:fldCharType="end"/>
                    </w:r>
                  </w:p>
                </w:txbxContent>
              </v:textbox>
            </v:shape>
          </w:pict>
        </mc:Fallback>
      </mc:AlternateContent>
    </w:r>
    <w:r>
      <mc:AlternateContent>
        <mc:Choice Requires="wps">
          <w:drawing>
            <wp:anchor distT="0" distB="0" distL="0" distR="0" simplePos="0" relativeHeight="251659264" behindDoc="1" locked="0" layoutInCell="0" allowOverlap="1">
              <wp:simplePos x="0" y="0"/>
              <wp:positionH relativeFrom="margin">
                <wp:align>center</wp:align>
              </wp:positionH>
              <wp:positionV relativeFrom="paragraph">
                <wp:posOffset>635</wp:posOffset>
              </wp:positionV>
              <wp:extent cx="1829435" cy="139065"/>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38600"/>
                      </a:xfrm>
                      <a:prstGeom prst="rect">
                        <a:avLst/>
                      </a:prstGeom>
                      <a:noFill/>
                      <a:ln w="6350">
                        <a:noFill/>
                      </a:ln>
                    </wps:spPr>
                    <wps:style>
                      <a:lnRef idx="0">
                        <a:schemeClr val="accent1"/>
                      </a:lnRef>
                      <a:fillRef idx="0">
                        <a:schemeClr val="accent1"/>
                      </a:fillRef>
                      <a:effectRef idx="0">
                        <a:schemeClr val="accent1"/>
                      </a:effectRef>
                      <a:fontRef idx="minor"/>
                    </wps:style>
                    <wps:txbx>
                      <w:txbxContent>
                        <w:p>
                          <w:pPr>
                            <w:pStyle w:val="30"/>
                            <w:rPr>
                              <w:color w:val="000000"/>
                            </w:rPr>
                          </w:pPr>
                        </w:p>
                      </w:txbxContent>
                    </wps:txbx>
                    <wps:bodyPr lIns="0" tIns="0" rIns="0" bIns="0">
                      <a:spAutoFit/>
                    </wps:bodyPr>
                  </wps:wsp>
                </a:graphicData>
              </a:graphic>
            </wp:anchor>
          </w:drawing>
        </mc:Choice>
        <mc:Fallback>
          <w:pict>
            <v:rect id="文本框 2" o:spid="_x0000_s1026" o:spt="1" style="position:absolute;left:0pt;margin-top:0.05pt;height:10.95pt;width:144.05pt;mso-position-horizontal:center;mso-position-horizontal-relative:margin;z-index:-251657216;mso-width-relative:page;mso-height-relative:page;" filled="f" stroked="f" coordsize="21600,21600" o:allowincell="f" o:gfxdata="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3C4En0wAAAAQBAAAPAAAAAAAAAAEAIAAAACIAAABkcnMvZG93bnJldi54bWxQSwEC&#10;FAAUAAAACACHTuJATC11JsABAAB/AwAADgAAAAAAAAABACAAAAAiAQAAZHJzL2Uyb0RvYy54bWxQ&#10;SwUGAAAAAAYABgBZAQAAVAUAAAAA&#10;">
              <v:fill on="f" focussize="0,0"/>
              <v:stroke on="f" weight="0.5pt"/>
              <v:imagedata o:title=""/>
              <o:lock v:ext="edit" aspectratio="f"/>
              <v:textbox inset="0mm,0mm,0mm,0mm" style="mso-fit-shape-to-text:t;">
                <w:txbxContent>
                  <w:p>
                    <w:pPr>
                      <w:pStyle w:val="30"/>
                      <w:rPr>
                        <w:color w:val="000000"/>
                      </w:rPr>
                    </w:pP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13A23"/>
    <w:multiLevelType w:val="singleLevel"/>
    <w:tmpl w:val="A5213A23"/>
    <w:lvl w:ilvl="0" w:tentative="0">
      <w:start w:val="1"/>
      <w:numFmt w:val="decimal"/>
      <w:suff w:val="nothing"/>
      <w:lvlText w:val="%1、"/>
      <w:lvlJc w:val="left"/>
    </w:lvl>
  </w:abstractNum>
  <w:abstractNum w:abstractNumId="1">
    <w:nsid w:val="AE9F96E1"/>
    <w:multiLevelType w:val="singleLevel"/>
    <w:tmpl w:val="AE9F96E1"/>
    <w:lvl w:ilvl="0" w:tentative="0">
      <w:start w:val="2"/>
      <w:numFmt w:val="decimal"/>
      <w:suff w:val="nothing"/>
      <w:lvlText w:val="%1、"/>
      <w:lvlJc w:val="left"/>
    </w:lvl>
  </w:abstractNum>
  <w:abstractNum w:abstractNumId="2">
    <w:nsid w:val="E107B111"/>
    <w:multiLevelType w:val="singleLevel"/>
    <w:tmpl w:val="E107B111"/>
    <w:lvl w:ilvl="0" w:tentative="0">
      <w:start w:val="5"/>
      <w:numFmt w:val="chineseCounting"/>
      <w:suff w:val="nothing"/>
      <w:lvlText w:val="%1、"/>
      <w:lvlJc w:val="left"/>
      <w:rPr>
        <w:rFonts w:hint="eastAsia"/>
      </w:rPr>
    </w:lvl>
  </w:abstractNum>
  <w:abstractNum w:abstractNumId="3">
    <w:nsid w:val="0053208E"/>
    <w:multiLevelType w:val="multilevel"/>
    <w:tmpl w:val="0053208E"/>
    <w:lvl w:ilvl="0" w:tentative="0">
      <w:start w:val="1"/>
      <w:numFmt w:val="decimal"/>
      <w:suff w:val="nothing"/>
      <w:lvlText w:val="%1）"/>
      <w:lvlJc w:val="left"/>
      <w:pPr>
        <w:tabs>
          <w:tab w:val="left" w:pos="0"/>
        </w:tabs>
        <w:ind w:left="0" w:firstLine="0"/>
      </w:pPr>
      <w:rPr>
        <w:rFonts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lvlOverride w:ilvl="0">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autoHyphenation/>
  <w:noPunctuationKerning w:val="1"/>
  <w:characterSpacingControl w:val="doNotCompress"/>
  <w:compat>
    <w:balanceSingleByteDoubleByteWidth/>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2M2U2ZDRhODU1YjU1MGMyODIyN2RjNTA4ZjdhNGMifQ=="/>
  </w:docVars>
  <w:rsids>
    <w:rsidRoot w:val="00505FE9"/>
    <w:rsid w:val="000418BA"/>
    <w:rsid w:val="001E779C"/>
    <w:rsid w:val="002433CF"/>
    <w:rsid w:val="00505FE9"/>
    <w:rsid w:val="0058160E"/>
    <w:rsid w:val="00AF00ED"/>
    <w:rsid w:val="00AF1E42"/>
    <w:rsid w:val="00E242E0"/>
    <w:rsid w:val="01056FA5"/>
    <w:rsid w:val="01C800A7"/>
    <w:rsid w:val="020E3E06"/>
    <w:rsid w:val="021C7087"/>
    <w:rsid w:val="0224187C"/>
    <w:rsid w:val="0228117C"/>
    <w:rsid w:val="02313F99"/>
    <w:rsid w:val="028C4A17"/>
    <w:rsid w:val="02AF718B"/>
    <w:rsid w:val="02CD5A6F"/>
    <w:rsid w:val="02FA610B"/>
    <w:rsid w:val="030C5C37"/>
    <w:rsid w:val="034877EC"/>
    <w:rsid w:val="03C25D9A"/>
    <w:rsid w:val="04365D91"/>
    <w:rsid w:val="04576FC8"/>
    <w:rsid w:val="04B35207"/>
    <w:rsid w:val="04EC4753"/>
    <w:rsid w:val="05051186"/>
    <w:rsid w:val="0511564D"/>
    <w:rsid w:val="052778F4"/>
    <w:rsid w:val="054933A7"/>
    <w:rsid w:val="055515C7"/>
    <w:rsid w:val="05A47C83"/>
    <w:rsid w:val="05C72C4A"/>
    <w:rsid w:val="05EE1E2B"/>
    <w:rsid w:val="061725B0"/>
    <w:rsid w:val="067508F8"/>
    <w:rsid w:val="068C2D31"/>
    <w:rsid w:val="07192D77"/>
    <w:rsid w:val="082779D0"/>
    <w:rsid w:val="086A04D3"/>
    <w:rsid w:val="08E33DF1"/>
    <w:rsid w:val="090661BB"/>
    <w:rsid w:val="091F0FEF"/>
    <w:rsid w:val="0A002E10"/>
    <w:rsid w:val="0A58515B"/>
    <w:rsid w:val="0A960E3D"/>
    <w:rsid w:val="0AA277E2"/>
    <w:rsid w:val="0B140221"/>
    <w:rsid w:val="0B2B48D9"/>
    <w:rsid w:val="0B717E3E"/>
    <w:rsid w:val="0C0F70F9"/>
    <w:rsid w:val="0C147663"/>
    <w:rsid w:val="0C2B170A"/>
    <w:rsid w:val="0CD65E68"/>
    <w:rsid w:val="0CE36615"/>
    <w:rsid w:val="0D1006BC"/>
    <w:rsid w:val="0D546874"/>
    <w:rsid w:val="0E885778"/>
    <w:rsid w:val="0E9B4C74"/>
    <w:rsid w:val="0F44355D"/>
    <w:rsid w:val="0F855CBD"/>
    <w:rsid w:val="0FDA7A1E"/>
    <w:rsid w:val="10014D0A"/>
    <w:rsid w:val="100A086B"/>
    <w:rsid w:val="102A2753"/>
    <w:rsid w:val="102B64CB"/>
    <w:rsid w:val="111B0DAA"/>
    <w:rsid w:val="11323E5A"/>
    <w:rsid w:val="11AE1162"/>
    <w:rsid w:val="11C80BA5"/>
    <w:rsid w:val="11DB1A18"/>
    <w:rsid w:val="12755D5E"/>
    <w:rsid w:val="12980D80"/>
    <w:rsid w:val="12A40D98"/>
    <w:rsid w:val="12D93FBD"/>
    <w:rsid w:val="12EC028F"/>
    <w:rsid w:val="136C5029"/>
    <w:rsid w:val="14771CDF"/>
    <w:rsid w:val="1481460C"/>
    <w:rsid w:val="14937832"/>
    <w:rsid w:val="14D25167"/>
    <w:rsid w:val="14DB226E"/>
    <w:rsid w:val="152768B1"/>
    <w:rsid w:val="15654819"/>
    <w:rsid w:val="157B5221"/>
    <w:rsid w:val="15952838"/>
    <w:rsid w:val="15B66837"/>
    <w:rsid w:val="16316FCC"/>
    <w:rsid w:val="166063DC"/>
    <w:rsid w:val="1665026F"/>
    <w:rsid w:val="168B6150"/>
    <w:rsid w:val="172F45D6"/>
    <w:rsid w:val="173B6064"/>
    <w:rsid w:val="1779661C"/>
    <w:rsid w:val="17D57D45"/>
    <w:rsid w:val="17D631C0"/>
    <w:rsid w:val="18100BB5"/>
    <w:rsid w:val="183F31CC"/>
    <w:rsid w:val="188012DB"/>
    <w:rsid w:val="18893D8F"/>
    <w:rsid w:val="18A40BC9"/>
    <w:rsid w:val="1901102A"/>
    <w:rsid w:val="19557FA3"/>
    <w:rsid w:val="1AB04D7F"/>
    <w:rsid w:val="1B535722"/>
    <w:rsid w:val="1BAA299A"/>
    <w:rsid w:val="1C085913"/>
    <w:rsid w:val="1CC21537"/>
    <w:rsid w:val="1CC829F3"/>
    <w:rsid w:val="1CD001DE"/>
    <w:rsid w:val="1D0769D0"/>
    <w:rsid w:val="1D2D3883"/>
    <w:rsid w:val="1D2E13A9"/>
    <w:rsid w:val="1D572256"/>
    <w:rsid w:val="1D8036B5"/>
    <w:rsid w:val="1D9A2D33"/>
    <w:rsid w:val="1DC97EE6"/>
    <w:rsid w:val="1DF86EE5"/>
    <w:rsid w:val="1DFB5794"/>
    <w:rsid w:val="1E4B64EE"/>
    <w:rsid w:val="1E5E400B"/>
    <w:rsid w:val="1E905E67"/>
    <w:rsid w:val="1EE32A2D"/>
    <w:rsid w:val="1F024241"/>
    <w:rsid w:val="1F2B0288"/>
    <w:rsid w:val="1F5E5F75"/>
    <w:rsid w:val="1FAF67D1"/>
    <w:rsid w:val="1FDE2C12"/>
    <w:rsid w:val="201725C8"/>
    <w:rsid w:val="201900EE"/>
    <w:rsid w:val="201F0E2A"/>
    <w:rsid w:val="20C95745"/>
    <w:rsid w:val="20E66819"/>
    <w:rsid w:val="20F81FAB"/>
    <w:rsid w:val="21395A37"/>
    <w:rsid w:val="213972AF"/>
    <w:rsid w:val="213A656E"/>
    <w:rsid w:val="214C62A1"/>
    <w:rsid w:val="21B937A8"/>
    <w:rsid w:val="21EF5306"/>
    <w:rsid w:val="220734A5"/>
    <w:rsid w:val="220B3A67"/>
    <w:rsid w:val="2274785E"/>
    <w:rsid w:val="22CF2CE6"/>
    <w:rsid w:val="233D2346"/>
    <w:rsid w:val="23492A98"/>
    <w:rsid w:val="235B5672"/>
    <w:rsid w:val="245C2C9F"/>
    <w:rsid w:val="24814F5D"/>
    <w:rsid w:val="252E5F73"/>
    <w:rsid w:val="253C31AA"/>
    <w:rsid w:val="254141A4"/>
    <w:rsid w:val="256073CA"/>
    <w:rsid w:val="256242E5"/>
    <w:rsid w:val="257139A1"/>
    <w:rsid w:val="257920AA"/>
    <w:rsid w:val="25DF4A84"/>
    <w:rsid w:val="260A6F2F"/>
    <w:rsid w:val="263C46F3"/>
    <w:rsid w:val="263E08AF"/>
    <w:rsid w:val="268216B8"/>
    <w:rsid w:val="26AF1CF5"/>
    <w:rsid w:val="27070CA1"/>
    <w:rsid w:val="272745C6"/>
    <w:rsid w:val="27E11D5C"/>
    <w:rsid w:val="280C2946"/>
    <w:rsid w:val="28241848"/>
    <w:rsid w:val="28DE3C83"/>
    <w:rsid w:val="2902208A"/>
    <w:rsid w:val="29051210"/>
    <w:rsid w:val="2919498E"/>
    <w:rsid w:val="29746444"/>
    <w:rsid w:val="298A7967"/>
    <w:rsid w:val="29961EC2"/>
    <w:rsid w:val="29A0006C"/>
    <w:rsid w:val="29AC1FD3"/>
    <w:rsid w:val="29AF3247"/>
    <w:rsid w:val="29C22E48"/>
    <w:rsid w:val="2A8F7184"/>
    <w:rsid w:val="2AD90BA6"/>
    <w:rsid w:val="2AF2142A"/>
    <w:rsid w:val="2B585F6F"/>
    <w:rsid w:val="2B65068C"/>
    <w:rsid w:val="2B6761B2"/>
    <w:rsid w:val="2B807273"/>
    <w:rsid w:val="2BD80E5D"/>
    <w:rsid w:val="2C8361FF"/>
    <w:rsid w:val="2CD678EF"/>
    <w:rsid w:val="2CD755B9"/>
    <w:rsid w:val="2CE5443A"/>
    <w:rsid w:val="2D6A01DB"/>
    <w:rsid w:val="2D7E5A35"/>
    <w:rsid w:val="2DC31699"/>
    <w:rsid w:val="2DCD0535"/>
    <w:rsid w:val="2E5A0250"/>
    <w:rsid w:val="2E9F2106"/>
    <w:rsid w:val="2EEB70FA"/>
    <w:rsid w:val="2F2527D2"/>
    <w:rsid w:val="2F25709C"/>
    <w:rsid w:val="2F6A39FD"/>
    <w:rsid w:val="2F6A44C2"/>
    <w:rsid w:val="2F920F6C"/>
    <w:rsid w:val="30063D65"/>
    <w:rsid w:val="30383AE6"/>
    <w:rsid w:val="307F5D4C"/>
    <w:rsid w:val="309C2CF8"/>
    <w:rsid w:val="30EE4C64"/>
    <w:rsid w:val="31313221"/>
    <w:rsid w:val="31E87BE1"/>
    <w:rsid w:val="31F444F6"/>
    <w:rsid w:val="321F3A37"/>
    <w:rsid w:val="322215CF"/>
    <w:rsid w:val="325E6A92"/>
    <w:rsid w:val="326C4DB1"/>
    <w:rsid w:val="329C4523"/>
    <w:rsid w:val="336B699E"/>
    <w:rsid w:val="33947D60"/>
    <w:rsid w:val="339715FE"/>
    <w:rsid w:val="33BE6B8B"/>
    <w:rsid w:val="33E63D63"/>
    <w:rsid w:val="343B5E1D"/>
    <w:rsid w:val="34844E9A"/>
    <w:rsid w:val="34C4269D"/>
    <w:rsid w:val="34C77CC1"/>
    <w:rsid w:val="34D1372E"/>
    <w:rsid w:val="35140C0F"/>
    <w:rsid w:val="35A5143A"/>
    <w:rsid w:val="35BB748B"/>
    <w:rsid w:val="35E548A3"/>
    <w:rsid w:val="365D0CE3"/>
    <w:rsid w:val="36766526"/>
    <w:rsid w:val="36BF2E43"/>
    <w:rsid w:val="36DE34A6"/>
    <w:rsid w:val="3770150F"/>
    <w:rsid w:val="378325C5"/>
    <w:rsid w:val="37AD480B"/>
    <w:rsid w:val="37B35C54"/>
    <w:rsid w:val="38541A45"/>
    <w:rsid w:val="39113C01"/>
    <w:rsid w:val="39FC6630"/>
    <w:rsid w:val="3A3C6125"/>
    <w:rsid w:val="3A816CF1"/>
    <w:rsid w:val="3A916DA7"/>
    <w:rsid w:val="3AAC2F08"/>
    <w:rsid w:val="3B017364"/>
    <w:rsid w:val="3B9D6010"/>
    <w:rsid w:val="3C1C3D9E"/>
    <w:rsid w:val="3D1C1BCF"/>
    <w:rsid w:val="3D4513AC"/>
    <w:rsid w:val="3D6F0EF6"/>
    <w:rsid w:val="3D87623F"/>
    <w:rsid w:val="3E0E4BB3"/>
    <w:rsid w:val="3E1677F2"/>
    <w:rsid w:val="3E237A18"/>
    <w:rsid w:val="3E742C68"/>
    <w:rsid w:val="3F2A2B0C"/>
    <w:rsid w:val="3F5415E5"/>
    <w:rsid w:val="3F8E67AE"/>
    <w:rsid w:val="3F93536F"/>
    <w:rsid w:val="3FCE1894"/>
    <w:rsid w:val="409E3689"/>
    <w:rsid w:val="40F249E2"/>
    <w:rsid w:val="41301A36"/>
    <w:rsid w:val="41850217"/>
    <w:rsid w:val="419E2ED2"/>
    <w:rsid w:val="41A37628"/>
    <w:rsid w:val="41A90E7A"/>
    <w:rsid w:val="41ED3108"/>
    <w:rsid w:val="42450BA7"/>
    <w:rsid w:val="42996FE1"/>
    <w:rsid w:val="42B67AA6"/>
    <w:rsid w:val="42EE55F9"/>
    <w:rsid w:val="42F425C9"/>
    <w:rsid w:val="43030A5E"/>
    <w:rsid w:val="431C38CE"/>
    <w:rsid w:val="435216C1"/>
    <w:rsid w:val="43623856"/>
    <w:rsid w:val="43653FBA"/>
    <w:rsid w:val="43DC1871"/>
    <w:rsid w:val="43EC1500"/>
    <w:rsid w:val="44250560"/>
    <w:rsid w:val="447A6AFE"/>
    <w:rsid w:val="449803A5"/>
    <w:rsid w:val="44AB315B"/>
    <w:rsid w:val="44D006A4"/>
    <w:rsid w:val="44ED5522"/>
    <w:rsid w:val="44FA140B"/>
    <w:rsid w:val="451A2964"/>
    <w:rsid w:val="454751D8"/>
    <w:rsid w:val="45AC718B"/>
    <w:rsid w:val="46537607"/>
    <w:rsid w:val="46873E78"/>
    <w:rsid w:val="46D36999"/>
    <w:rsid w:val="473531B0"/>
    <w:rsid w:val="473E5063"/>
    <w:rsid w:val="475E64D4"/>
    <w:rsid w:val="48BC5937"/>
    <w:rsid w:val="491A08B0"/>
    <w:rsid w:val="49631762"/>
    <w:rsid w:val="4A0174DC"/>
    <w:rsid w:val="4A0D2267"/>
    <w:rsid w:val="4A1277D9"/>
    <w:rsid w:val="4A5E676B"/>
    <w:rsid w:val="4A857FAB"/>
    <w:rsid w:val="4ADE0767"/>
    <w:rsid w:val="4B533E37"/>
    <w:rsid w:val="4B652C0B"/>
    <w:rsid w:val="4BDD058B"/>
    <w:rsid w:val="4C623A34"/>
    <w:rsid w:val="4C7425D6"/>
    <w:rsid w:val="4C79378F"/>
    <w:rsid w:val="4C7E6688"/>
    <w:rsid w:val="4CD808E2"/>
    <w:rsid w:val="4CDB0356"/>
    <w:rsid w:val="4D2E7398"/>
    <w:rsid w:val="4D5E4A90"/>
    <w:rsid w:val="4D5F4AE3"/>
    <w:rsid w:val="4D6B792C"/>
    <w:rsid w:val="4D776C7A"/>
    <w:rsid w:val="4D795A68"/>
    <w:rsid w:val="4DE95F78"/>
    <w:rsid w:val="4E593954"/>
    <w:rsid w:val="4F020F47"/>
    <w:rsid w:val="4F1F1774"/>
    <w:rsid w:val="4F4F5C05"/>
    <w:rsid w:val="4F626B0C"/>
    <w:rsid w:val="50280FD5"/>
    <w:rsid w:val="5051105B"/>
    <w:rsid w:val="50A17ADE"/>
    <w:rsid w:val="50C7131D"/>
    <w:rsid w:val="51330760"/>
    <w:rsid w:val="52187356"/>
    <w:rsid w:val="52887ADE"/>
    <w:rsid w:val="52CF61F0"/>
    <w:rsid w:val="53610E09"/>
    <w:rsid w:val="53887051"/>
    <w:rsid w:val="549459BA"/>
    <w:rsid w:val="5503044A"/>
    <w:rsid w:val="55673EA5"/>
    <w:rsid w:val="557B3584"/>
    <w:rsid w:val="55845999"/>
    <w:rsid w:val="559A0500"/>
    <w:rsid w:val="5636066B"/>
    <w:rsid w:val="565D0023"/>
    <w:rsid w:val="570F6F2F"/>
    <w:rsid w:val="573137FB"/>
    <w:rsid w:val="57315B19"/>
    <w:rsid w:val="57905941"/>
    <w:rsid w:val="57F27B5C"/>
    <w:rsid w:val="58164938"/>
    <w:rsid w:val="58993C45"/>
    <w:rsid w:val="58AD0DF8"/>
    <w:rsid w:val="58F42D61"/>
    <w:rsid w:val="590666A2"/>
    <w:rsid w:val="59793D78"/>
    <w:rsid w:val="59A20DC7"/>
    <w:rsid w:val="5A5338E2"/>
    <w:rsid w:val="5AA31307"/>
    <w:rsid w:val="5AE26EA6"/>
    <w:rsid w:val="5AF0321E"/>
    <w:rsid w:val="5B5A267B"/>
    <w:rsid w:val="5BB40625"/>
    <w:rsid w:val="5BE37E3B"/>
    <w:rsid w:val="5BF038D8"/>
    <w:rsid w:val="5BF136F2"/>
    <w:rsid w:val="5C493978"/>
    <w:rsid w:val="5C706B74"/>
    <w:rsid w:val="5C77705D"/>
    <w:rsid w:val="5C8E2CEF"/>
    <w:rsid w:val="5C8F6CEE"/>
    <w:rsid w:val="5CAA5441"/>
    <w:rsid w:val="5CEC5C67"/>
    <w:rsid w:val="5CEE14EF"/>
    <w:rsid w:val="5D487342"/>
    <w:rsid w:val="5D755C5D"/>
    <w:rsid w:val="5DB744C7"/>
    <w:rsid w:val="5DC866D4"/>
    <w:rsid w:val="5DD155AC"/>
    <w:rsid w:val="5DE27796"/>
    <w:rsid w:val="5E0E341B"/>
    <w:rsid w:val="5E232AD3"/>
    <w:rsid w:val="5F313A3B"/>
    <w:rsid w:val="5F502962"/>
    <w:rsid w:val="5FDF3601"/>
    <w:rsid w:val="60007A23"/>
    <w:rsid w:val="602C546E"/>
    <w:rsid w:val="60727A3E"/>
    <w:rsid w:val="60AC3370"/>
    <w:rsid w:val="60E86847"/>
    <w:rsid w:val="61C15914"/>
    <w:rsid w:val="61EC58E1"/>
    <w:rsid w:val="62A514D6"/>
    <w:rsid w:val="62AA45FB"/>
    <w:rsid w:val="63335164"/>
    <w:rsid w:val="639D5F0D"/>
    <w:rsid w:val="63F2701D"/>
    <w:rsid w:val="64191A38"/>
    <w:rsid w:val="643D1812"/>
    <w:rsid w:val="64577652"/>
    <w:rsid w:val="64AC3BEA"/>
    <w:rsid w:val="64B81251"/>
    <w:rsid w:val="64C25C2B"/>
    <w:rsid w:val="64EA5182"/>
    <w:rsid w:val="650F5890"/>
    <w:rsid w:val="667536B2"/>
    <w:rsid w:val="669A33A5"/>
    <w:rsid w:val="66B179EA"/>
    <w:rsid w:val="66B74E73"/>
    <w:rsid w:val="66BC2FEC"/>
    <w:rsid w:val="67DD5ACB"/>
    <w:rsid w:val="681D1CC8"/>
    <w:rsid w:val="68442A1F"/>
    <w:rsid w:val="68464288"/>
    <w:rsid w:val="68626220"/>
    <w:rsid w:val="68635EDC"/>
    <w:rsid w:val="688D71D7"/>
    <w:rsid w:val="68AA6511"/>
    <w:rsid w:val="68DC41B3"/>
    <w:rsid w:val="69767F3F"/>
    <w:rsid w:val="697D4817"/>
    <w:rsid w:val="69894F6A"/>
    <w:rsid w:val="698D50F1"/>
    <w:rsid w:val="69A4724A"/>
    <w:rsid w:val="69DF2DDC"/>
    <w:rsid w:val="6A071133"/>
    <w:rsid w:val="6A1A02B8"/>
    <w:rsid w:val="6AC34807"/>
    <w:rsid w:val="6B122D3D"/>
    <w:rsid w:val="6B2D3B83"/>
    <w:rsid w:val="6B4E1DFE"/>
    <w:rsid w:val="6B7D50A7"/>
    <w:rsid w:val="6C2D5DC0"/>
    <w:rsid w:val="6C344FDD"/>
    <w:rsid w:val="6C3844DC"/>
    <w:rsid w:val="6C9A7C72"/>
    <w:rsid w:val="6CA9104A"/>
    <w:rsid w:val="6CC44AD4"/>
    <w:rsid w:val="6CCF49FB"/>
    <w:rsid w:val="6D145434"/>
    <w:rsid w:val="6D205B7C"/>
    <w:rsid w:val="6D2328D9"/>
    <w:rsid w:val="6D260D22"/>
    <w:rsid w:val="6D723F67"/>
    <w:rsid w:val="6DCE26B0"/>
    <w:rsid w:val="6E251CF8"/>
    <w:rsid w:val="6E8342B1"/>
    <w:rsid w:val="6EC81EB3"/>
    <w:rsid w:val="6ECC5709"/>
    <w:rsid w:val="6F1D38A1"/>
    <w:rsid w:val="6F574033"/>
    <w:rsid w:val="6F9B5DD7"/>
    <w:rsid w:val="6FB16FC8"/>
    <w:rsid w:val="6FB20E0B"/>
    <w:rsid w:val="6FBE16E5"/>
    <w:rsid w:val="70271038"/>
    <w:rsid w:val="705D02C7"/>
    <w:rsid w:val="705D1E35"/>
    <w:rsid w:val="70FA0C47"/>
    <w:rsid w:val="715C0CBE"/>
    <w:rsid w:val="71656119"/>
    <w:rsid w:val="71A52B5D"/>
    <w:rsid w:val="71E464A9"/>
    <w:rsid w:val="7218332F"/>
    <w:rsid w:val="725E7A07"/>
    <w:rsid w:val="72984576"/>
    <w:rsid w:val="72BF49AB"/>
    <w:rsid w:val="72C15A2D"/>
    <w:rsid w:val="72C42801"/>
    <w:rsid w:val="72E20524"/>
    <w:rsid w:val="730B4A79"/>
    <w:rsid w:val="7349576A"/>
    <w:rsid w:val="735A0365"/>
    <w:rsid w:val="735A7977"/>
    <w:rsid w:val="7391204B"/>
    <w:rsid w:val="73D86FF8"/>
    <w:rsid w:val="73F94D57"/>
    <w:rsid w:val="745126B1"/>
    <w:rsid w:val="7494585A"/>
    <w:rsid w:val="74B17E52"/>
    <w:rsid w:val="74BB61F3"/>
    <w:rsid w:val="74C72D45"/>
    <w:rsid w:val="751941A1"/>
    <w:rsid w:val="75377F70"/>
    <w:rsid w:val="75383CE8"/>
    <w:rsid w:val="753C527F"/>
    <w:rsid w:val="755D0491"/>
    <w:rsid w:val="75A23358"/>
    <w:rsid w:val="763E70DC"/>
    <w:rsid w:val="764F12E9"/>
    <w:rsid w:val="766E5A09"/>
    <w:rsid w:val="769B7323"/>
    <w:rsid w:val="76C021E7"/>
    <w:rsid w:val="76D56C07"/>
    <w:rsid w:val="781A45C9"/>
    <w:rsid w:val="784265B5"/>
    <w:rsid w:val="788D434B"/>
    <w:rsid w:val="78B90E2C"/>
    <w:rsid w:val="78C064CE"/>
    <w:rsid w:val="78C90643"/>
    <w:rsid w:val="78FA3D10"/>
    <w:rsid w:val="79177222"/>
    <w:rsid w:val="797057FE"/>
    <w:rsid w:val="79AA2B53"/>
    <w:rsid w:val="79D44A16"/>
    <w:rsid w:val="7A2C0E70"/>
    <w:rsid w:val="7A892218"/>
    <w:rsid w:val="7AE05EF9"/>
    <w:rsid w:val="7B2E3BC3"/>
    <w:rsid w:val="7B3A2568"/>
    <w:rsid w:val="7B432582"/>
    <w:rsid w:val="7C052D5B"/>
    <w:rsid w:val="7C7A4BE6"/>
    <w:rsid w:val="7C8E5479"/>
    <w:rsid w:val="7D3A2007"/>
    <w:rsid w:val="7D722D1A"/>
    <w:rsid w:val="7D7F0706"/>
    <w:rsid w:val="7F303D4D"/>
    <w:rsid w:val="7F4D13A6"/>
    <w:rsid w:val="7F590167"/>
    <w:rsid w:val="7FB74BBF"/>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hi-IN"/>
    </w:rPr>
  </w:style>
  <w:style w:type="paragraph" w:styleId="5">
    <w:name w:val="heading 1"/>
    <w:basedOn w:val="1"/>
    <w:next w:val="1"/>
    <w:qFormat/>
    <w:uiPriority w:val="0"/>
    <w:pPr>
      <w:keepNext/>
      <w:keepLines/>
      <w:spacing w:before="340" w:after="330" w:line="578" w:lineRule="auto"/>
      <w:outlineLvl w:val="0"/>
    </w:pPr>
    <w:rPr>
      <w:rFonts w:eastAsia="楷体_GB2312"/>
      <w:b/>
      <w:kern w:val="44"/>
      <w:sz w:val="44"/>
    </w:rPr>
  </w:style>
  <w:style w:type="paragraph" w:styleId="6">
    <w:name w:val="heading 2"/>
    <w:basedOn w:val="1"/>
    <w:next w:val="1"/>
    <w:qFormat/>
    <w:uiPriority w:val="0"/>
    <w:pPr>
      <w:keepNext/>
      <w:keepLines/>
      <w:spacing w:before="260" w:after="260" w:line="416" w:lineRule="auto"/>
      <w:jc w:val="center"/>
      <w:outlineLvl w:val="1"/>
    </w:pPr>
    <w:rPr>
      <w:rFonts w:ascii="Arial" w:hAnsi="Arial" w:eastAsia="幼圆"/>
      <w:b/>
      <w:bCs/>
      <w:sz w:val="44"/>
      <w:szCs w:val="44"/>
    </w:rPr>
  </w:style>
  <w:style w:type="paragraph" w:styleId="7">
    <w:name w:val="heading 3"/>
    <w:basedOn w:val="1"/>
    <w:next w:val="1"/>
    <w:qFormat/>
    <w:uiPriority w:val="0"/>
    <w:pPr>
      <w:keepNext/>
      <w:keepLines/>
      <w:spacing w:before="260" w:after="260" w:line="416" w:lineRule="auto"/>
      <w:outlineLvl w:val="2"/>
    </w:pPr>
    <w:rPr>
      <w:b/>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99"/>
    <w:pPr>
      <w:snapToGrid w:val="0"/>
    </w:pPr>
    <w:rPr>
      <w:rFonts w:ascii="Arial" w:hAnsi="Arial"/>
    </w:rPr>
  </w:style>
  <w:style w:type="paragraph" w:styleId="8">
    <w:name w:val="Normal Indent"/>
    <w:basedOn w:val="1"/>
    <w:qFormat/>
    <w:uiPriority w:val="99"/>
    <w:pPr>
      <w:ind w:firstLine="420"/>
    </w:pPr>
  </w:style>
  <w:style w:type="paragraph" w:styleId="9">
    <w:name w:val="annotation text"/>
    <w:basedOn w:val="1"/>
    <w:unhideWhenUsed/>
    <w:qFormat/>
    <w:uiPriority w:val="99"/>
    <w:pPr>
      <w:jc w:val="left"/>
    </w:pPr>
  </w:style>
  <w:style w:type="paragraph" w:styleId="10">
    <w:name w:val="Body Text"/>
    <w:basedOn w:val="1"/>
    <w:next w:val="1"/>
    <w:qFormat/>
    <w:uiPriority w:val="0"/>
    <w:rPr>
      <w:rFonts w:ascii="楷体_GB2312" w:hAnsi="Arial" w:eastAsia="楷体_GB2312"/>
      <w:sz w:val="28"/>
    </w:rPr>
  </w:style>
  <w:style w:type="paragraph" w:styleId="11">
    <w:name w:val="Plain Text"/>
    <w:basedOn w:val="1"/>
    <w:qFormat/>
    <w:uiPriority w:val="0"/>
    <w:rPr>
      <w:rFonts w:hint="eastAsia" w:ascii="宋体" w:hAnsi="Courier New"/>
    </w:rPr>
  </w:style>
  <w:style w:type="paragraph" w:styleId="12">
    <w:name w:val="Balloon Text"/>
    <w:basedOn w:val="1"/>
    <w:link w:val="41"/>
    <w:semiHidden/>
    <w:unhideWhenUsed/>
    <w:qFormat/>
    <w:uiPriority w:val="99"/>
    <w:rPr>
      <w:rFonts w:cs="Mangal"/>
      <w:sz w:val="18"/>
      <w:szCs w:val="16"/>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link w:val="40"/>
    <w:unhideWhenUsed/>
    <w:qFormat/>
    <w:uiPriority w:val="99"/>
    <w:pPr>
      <w:pBdr>
        <w:bottom w:val="single" w:color="auto" w:sz="6" w:space="1"/>
      </w:pBdr>
      <w:tabs>
        <w:tab w:val="center" w:pos="4153"/>
        <w:tab w:val="right" w:pos="8306"/>
      </w:tabs>
      <w:snapToGrid w:val="0"/>
      <w:jc w:val="center"/>
    </w:pPr>
    <w:rPr>
      <w:rFonts w:cs="Mangal"/>
      <w:sz w:val="18"/>
      <w:szCs w:val="16"/>
    </w:rPr>
  </w:style>
  <w:style w:type="table" w:styleId="16">
    <w:name w:val="Table Grid"/>
    <w:unhideWhenUsed/>
    <w:qFormat/>
    <w:uiPriority w:val="99"/>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annotation reference"/>
    <w:basedOn w:val="17"/>
    <w:semiHidden/>
    <w:unhideWhenUsed/>
    <w:qFormat/>
    <w:uiPriority w:val="99"/>
    <w:rPr>
      <w:sz w:val="21"/>
      <w:szCs w:val="21"/>
    </w:rPr>
  </w:style>
  <w:style w:type="paragraph" w:customStyle="1" w:styleId="20">
    <w:name w:val="Default"/>
    <w:basedOn w:val="21"/>
    <w:next w:val="1"/>
    <w:qFormat/>
    <w:uiPriority w:val="0"/>
    <w:pPr>
      <w:jc w:val="left"/>
    </w:pPr>
    <w:rPr>
      <w:rFonts w:ascii="宋体" w:hAnsi="宋体" w:cs="宋体"/>
      <w:color w:val="000000"/>
      <w:kern w:val="0"/>
      <w:sz w:val="24"/>
      <w:szCs w:val="24"/>
    </w:rPr>
  </w:style>
  <w:style w:type="paragraph" w:customStyle="1" w:styleId="21">
    <w:name w:val="正文11"/>
    <w:next w:val="22"/>
    <w:qFormat/>
    <w:uiPriority w:val="0"/>
    <w:pPr>
      <w:widowControl w:val="0"/>
      <w:jc w:val="both"/>
    </w:pPr>
    <w:rPr>
      <w:rFonts w:ascii="Calibri" w:hAnsi="Calibri" w:eastAsia="宋体" w:cs="Times New Roman"/>
      <w:kern w:val="2"/>
      <w:sz w:val="21"/>
      <w:szCs w:val="21"/>
      <w:lang w:val="en-US" w:eastAsia="zh-CN" w:bidi="ar-SA"/>
    </w:rPr>
  </w:style>
  <w:style w:type="paragraph" w:customStyle="1" w:styleId="22">
    <w:name w:val="正文文本1"/>
    <w:basedOn w:val="21"/>
    <w:next w:val="21"/>
    <w:unhideWhenUsed/>
    <w:qFormat/>
    <w:uiPriority w:val="99"/>
    <w:rPr>
      <w:rFonts w:ascii="??_GB2312" w:hAnsi="??_GB2312"/>
      <w:sz w:val="28"/>
      <w:szCs w:val="28"/>
    </w:rPr>
  </w:style>
  <w:style w:type="paragraph" w:customStyle="1" w:styleId="23">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24">
    <w:name w:val="正文首行缩进 21"/>
    <w:basedOn w:val="3"/>
    <w:unhideWhenUsed/>
    <w:qFormat/>
    <w:uiPriority w:val="99"/>
    <w:pPr>
      <w:ind w:firstLine="200" w:firstLineChars="200"/>
    </w:pPr>
  </w:style>
  <w:style w:type="paragraph" w:customStyle="1" w:styleId="25">
    <w:name w:val="DAS正文"/>
    <w:basedOn w:val="1"/>
    <w:qFormat/>
    <w:uiPriority w:val="0"/>
    <w:pPr>
      <w:spacing w:line="360" w:lineRule="auto"/>
      <w:ind w:right="181" w:firstLine="480"/>
    </w:pPr>
    <w:rPr>
      <w:rFonts w:ascii="Verdana" w:hAnsi="Verdana"/>
      <w:szCs w:val="24"/>
    </w:rPr>
  </w:style>
  <w:style w:type="paragraph" w:customStyle="1" w:styleId="26">
    <w:name w:val="正文缩进1"/>
    <w:basedOn w:val="21"/>
    <w:unhideWhenUsed/>
    <w:qFormat/>
    <w:uiPriority w:val="99"/>
    <w:pPr>
      <w:spacing w:beforeAutospacing="1" w:after="120"/>
      <w:ind w:left="420"/>
    </w:pPr>
  </w:style>
  <w:style w:type="paragraph" w:customStyle="1" w:styleId="27">
    <w:name w:val="标题 11"/>
    <w:basedOn w:val="21"/>
    <w:next w:val="21"/>
    <w:qFormat/>
    <w:uiPriority w:val="0"/>
    <w:pPr>
      <w:keepNext/>
      <w:outlineLvl w:val="0"/>
    </w:pPr>
    <w:rPr>
      <w:rFonts w:ascii="楷体_GB2312" w:hAnsi="楷体_GB2312" w:eastAsia="楷体_GB2312"/>
      <w:kern w:val="0"/>
      <w:sz w:val="28"/>
      <w:szCs w:val="20"/>
    </w:rPr>
  </w:style>
  <w:style w:type="paragraph" w:customStyle="1" w:styleId="28">
    <w:name w:val="标题 21"/>
    <w:basedOn w:val="21"/>
    <w:next w:val="21"/>
    <w:qFormat/>
    <w:uiPriority w:val="99"/>
    <w:pPr>
      <w:keepNext/>
      <w:keepLines/>
      <w:spacing w:before="260" w:after="260" w:line="410" w:lineRule="auto"/>
      <w:jc w:val="center"/>
      <w:outlineLvl w:val="1"/>
    </w:pPr>
    <w:rPr>
      <w:rFonts w:ascii="Arial" w:hAnsi="Arial" w:eastAsia="幼圆"/>
      <w:b/>
      <w:bCs/>
      <w:sz w:val="44"/>
      <w:szCs w:val="44"/>
    </w:rPr>
  </w:style>
  <w:style w:type="paragraph" w:customStyle="1" w:styleId="29">
    <w:name w:val="标题 31"/>
    <w:basedOn w:val="21"/>
    <w:next w:val="21"/>
    <w:qFormat/>
    <w:uiPriority w:val="99"/>
    <w:pPr>
      <w:keepNext/>
      <w:keepLines/>
      <w:spacing w:before="260" w:after="260" w:line="410" w:lineRule="auto"/>
      <w:outlineLvl w:val="2"/>
    </w:pPr>
    <w:rPr>
      <w:b/>
      <w:bCs/>
      <w:sz w:val="32"/>
      <w:szCs w:val="32"/>
    </w:rPr>
  </w:style>
  <w:style w:type="paragraph" w:customStyle="1" w:styleId="30">
    <w:name w:val="页脚1"/>
    <w:basedOn w:val="21"/>
    <w:unhideWhenUsed/>
    <w:qFormat/>
    <w:uiPriority w:val="99"/>
    <w:pPr>
      <w:snapToGrid w:val="0"/>
      <w:jc w:val="left"/>
    </w:pPr>
    <w:rPr>
      <w:sz w:val="18"/>
      <w:szCs w:val="18"/>
    </w:rPr>
  </w:style>
  <w:style w:type="paragraph" w:customStyle="1" w:styleId="31">
    <w:name w:val="普通正文"/>
    <w:basedOn w:val="21"/>
    <w:qFormat/>
    <w:uiPriority w:val="0"/>
    <w:pPr>
      <w:spacing w:before="120" w:after="120" w:line="360" w:lineRule="auto"/>
      <w:ind w:firstLine="480"/>
      <w:jc w:val="left"/>
      <w:textAlignment w:val="baseline"/>
    </w:pPr>
    <w:rPr>
      <w:rFonts w:ascii="Arial" w:hAnsi="Arial"/>
      <w:kern w:val="0"/>
      <w:sz w:val="24"/>
      <w:szCs w:val="24"/>
    </w:rPr>
  </w:style>
  <w:style w:type="paragraph" w:customStyle="1" w:styleId="32">
    <w:name w:val="标题1"/>
    <w:basedOn w:val="21"/>
    <w:next w:val="21"/>
    <w:qFormat/>
    <w:uiPriority w:val="0"/>
    <w:pPr>
      <w:spacing w:line="700" w:lineRule="atLeast"/>
      <w:jc w:val="center"/>
    </w:pPr>
    <w:rPr>
      <w:rFonts w:ascii="Times New Roman" w:hAnsi="Times New Roman"/>
      <w:sz w:val="44"/>
      <w:szCs w:val="44"/>
    </w:rPr>
  </w:style>
  <w:style w:type="paragraph" w:customStyle="1" w:styleId="33">
    <w:name w:val="列出段落2"/>
    <w:basedOn w:val="21"/>
    <w:qFormat/>
    <w:uiPriority w:val="0"/>
  </w:style>
  <w:style w:type="paragraph" w:customStyle="1" w:styleId="34">
    <w:name w:val="列出段落1"/>
    <w:basedOn w:val="21"/>
    <w:qFormat/>
    <w:uiPriority w:val="0"/>
  </w:style>
  <w:style w:type="paragraph" w:customStyle="1" w:styleId="35">
    <w:name w:val="样式 标题 2 + 黑色 行距: 1.5 倍行距"/>
    <w:basedOn w:val="28"/>
    <w:qFormat/>
    <w:uiPriority w:val="0"/>
    <w:pPr>
      <w:spacing w:line="360" w:lineRule="auto"/>
      <w:jc w:val="left"/>
    </w:pPr>
    <w:rPr>
      <w:rFonts w:ascii="宋体" w:hAnsi="宋体" w:eastAsia="宋体" w:cs="??_GB2312"/>
      <w:color w:val="000000"/>
    </w:rPr>
  </w:style>
  <w:style w:type="paragraph" w:customStyle="1" w:styleId="36">
    <w:name w:val="列表段落"/>
    <w:basedOn w:val="21"/>
    <w:semiHidden/>
    <w:qFormat/>
    <w:uiPriority w:val="0"/>
  </w:style>
  <w:style w:type="paragraph" w:customStyle="1" w:styleId="37">
    <w:name w:val="正文缩进2格"/>
    <w:basedOn w:val="21"/>
    <w:qFormat/>
    <w:uiPriority w:val="0"/>
    <w:pPr>
      <w:spacing w:line="600" w:lineRule="exact"/>
    </w:pPr>
    <w:rPr>
      <w:rFonts w:ascii="??_GB2312" w:hAnsi="??_GB2312"/>
      <w:sz w:val="31"/>
      <w:szCs w:val="31"/>
    </w:rPr>
  </w:style>
  <w:style w:type="paragraph" w:customStyle="1" w:styleId="38">
    <w:name w:val="正文1"/>
    <w:basedOn w:val="21"/>
    <w:qFormat/>
    <w:uiPriority w:val="0"/>
    <w:pPr>
      <w:spacing w:line="360" w:lineRule="auto"/>
      <w:ind w:firstLine="361"/>
    </w:pPr>
    <w:rPr>
      <w:rFonts w:ascii="宋体" w:hAnsi="宋体"/>
      <w:szCs w:val="24"/>
    </w:rPr>
  </w:style>
  <w:style w:type="paragraph" w:styleId="39">
    <w:name w:val="List Paragraph"/>
    <w:basedOn w:val="1"/>
    <w:unhideWhenUsed/>
    <w:qFormat/>
    <w:uiPriority w:val="99"/>
    <w:pPr>
      <w:ind w:firstLine="420" w:firstLineChars="200"/>
    </w:pPr>
  </w:style>
  <w:style w:type="character" w:customStyle="1" w:styleId="40">
    <w:name w:val="页眉 Char"/>
    <w:basedOn w:val="17"/>
    <w:link w:val="14"/>
    <w:qFormat/>
    <w:uiPriority w:val="99"/>
    <w:rPr>
      <w:rFonts w:cs="Mangal"/>
      <w:sz w:val="18"/>
      <w:szCs w:val="16"/>
      <w:lang w:bidi="hi-IN"/>
    </w:rPr>
  </w:style>
  <w:style w:type="character" w:customStyle="1" w:styleId="41">
    <w:name w:val="批注框文本 Char"/>
    <w:basedOn w:val="17"/>
    <w:link w:val="12"/>
    <w:semiHidden/>
    <w:qFormat/>
    <w:uiPriority w:val="99"/>
    <w:rPr>
      <w:rFonts w:cs="Mangal"/>
      <w:sz w:val="18"/>
      <w:szCs w:val="16"/>
      <w:lang w:bidi="hi-I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20744</Words>
  <Characters>21554</Characters>
  <Lines>177</Lines>
  <Paragraphs>49</Paragraphs>
  <TotalTime>36</TotalTime>
  <ScaleCrop>false</ScaleCrop>
  <LinksUpToDate>false</LinksUpToDate>
  <CharactersWithSpaces>22652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2021-06-08T08:43:00Z</dcterms:created>
  <dc:creator>pc</dc:creator>
  <cp:lastModifiedBy>罗吉男</cp:lastModifiedBy>
  <cp:lastPrinted>2022-04-28T03:48:00Z</cp:lastPrinted>
  <dcterms:modified xsi:type="dcterms:W3CDTF">2024-10-12T05:24:51Z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D9ACF37C21B64D5BA831AFC36550677A_13</vt:lpwstr>
  </property>
  <property fmtid="{D5CDD505-2E9C-101B-9397-08002B2CF9AE}" pid="3" name="KSOProductBuildVer">
    <vt:lpwstr>2052-12.1.0.16929</vt:lpwstr>
  </property>
</Properties>
</file>