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cs="方正小标宋_GBK"/>
          <w:sz w:val="44"/>
          <w:szCs w:val="44"/>
        </w:rPr>
      </w:pPr>
    </w:p>
    <w:p>
      <w:pPr>
        <w:spacing w:line="60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南通经济技术开发区</w:t>
      </w:r>
    </w:p>
    <w:p>
      <w:pPr>
        <w:spacing w:line="60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2021年停车秩序专项整治实施方案</w:t>
      </w:r>
    </w:p>
    <w:p>
      <w:pPr>
        <w:spacing w:line="600" w:lineRule="exact"/>
        <w:jc w:val="center"/>
        <w:rPr>
          <w:rFonts w:ascii="方正小标宋_GBK" w:eastAsia="方正小标宋_GBK" w:cs="方正小标宋_GBK"/>
          <w:sz w:val="44"/>
          <w:szCs w:val="44"/>
        </w:rPr>
      </w:pPr>
    </w:p>
    <w:p>
      <w:pPr>
        <w:spacing w:line="550" w:lineRule="exact"/>
        <w:ind w:firstLine="640" w:firstLineChars="200"/>
      </w:pPr>
      <w:r>
        <w:rPr>
          <w:rFonts w:hint="eastAsia"/>
        </w:rPr>
        <w:t>为深入贯彻市委、市政府停车建设管理整治工作部署,进一步规范市区停车秩序,改善城市道路交通环境,缓解城市停车矛盾,着力提升城市停车管理现代化水平,促进城市高质量发展,依据《南通经济技术开发区停车建设整治三年提升行动方案》(通开发管办〔2021〕46号),制定区本年度停车秩序专项整治实施方案。</w:t>
      </w:r>
    </w:p>
    <w:p>
      <w:pPr>
        <w:spacing w:line="550" w:lineRule="exact"/>
        <w:ind w:firstLine="640" w:firstLineChars="200"/>
        <w:rPr>
          <w:rFonts w:ascii="黑体" w:hAnsi="黑体" w:eastAsia="黑体"/>
        </w:rPr>
      </w:pPr>
      <w:r>
        <w:rPr>
          <w:rFonts w:hint="eastAsia" w:ascii="黑体" w:hAnsi="黑体" w:eastAsia="黑体"/>
        </w:rPr>
        <w:t>一、指导思想</w:t>
      </w:r>
    </w:p>
    <w:p>
      <w:pPr>
        <w:spacing w:line="550" w:lineRule="exact"/>
        <w:ind w:firstLine="640" w:firstLineChars="200"/>
      </w:pPr>
      <w:r>
        <w:rPr>
          <w:rFonts w:hint="eastAsia"/>
        </w:rPr>
        <w:t>以习近平新时代中国特色社会主义思想为指导,坚持“以人民为中心”的发展思想,按照市委、市政府三年提升行动方案部署要求,紧紧围绕建设更高水平全国文明城市总体目标,以规范停车秩序、保障交通安全为重点,坚持问题导向、目标导向,按照“以块为主、条块联动,疏堵结合、综合整治”的总体思路,进一步理顺管理机制,加大管理执法力度,合理配置资源,构建有序停车环境,打造共建共治共享的城市停车新格局,不断提升人民群众的获得感、满意度。</w:t>
      </w:r>
    </w:p>
    <w:p>
      <w:pPr>
        <w:spacing w:line="550" w:lineRule="exact"/>
        <w:ind w:firstLine="640" w:firstLineChars="200"/>
        <w:rPr>
          <w:rFonts w:ascii="黑体" w:hAnsi="黑体" w:eastAsia="黑体"/>
        </w:rPr>
      </w:pPr>
      <w:r>
        <w:rPr>
          <w:rFonts w:hint="eastAsia" w:ascii="黑体" w:hAnsi="黑体" w:eastAsia="黑体"/>
        </w:rPr>
        <w:t>二、重点整治区域和整治内容</w:t>
      </w:r>
    </w:p>
    <w:p>
      <w:pPr>
        <w:spacing w:line="550" w:lineRule="exact"/>
        <w:ind w:firstLine="640" w:firstLineChars="200"/>
      </w:pPr>
      <w:r>
        <w:rPr>
          <w:rFonts w:hint="eastAsia" w:ascii="楷体_GB2312" w:eastAsia="楷体_GB2312"/>
        </w:rPr>
        <w:t>（一）整治重点区域</w:t>
      </w:r>
      <w:r>
        <w:rPr>
          <w:rFonts w:hint="eastAsia"/>
        </w:rPr>
        <w:t>。按照“先急后缓、先民生后其他、</w:t>
      </w:r>
    </w:p>
    <w:p>
      <w:pPr>
        <w:spacing w:line="550" w:lineRule="exact"/>
        <w:ind w:firstLine="640" w:firstLineChars="200"/>
      </w:pPr>
      <w:r>
        <w:rPr>
          <w:rFonts w:hint="eastAsia"/>
        </w:rPr>
        <w:t>先重点后一般”的原则要求,在组织全面摸排的基础上,以严管路及居住区、学校、医院、商业中心、交通枢纽、农贸市场等与市民生活密切相关的区域为重点,开展重点整治,设定严管区域。</w:t>
      </w:r>
    </w:p>
    <w:p>
      <w:pPr>
        <w:spacing w:line="550" w:lineRule="exact"/>
        <w:ind w:firstLine="640" w:firstLineChars="200"/>
      </w:pPr>
      <w:r>
        <w:rPr>
          <w:rFonts w:hint="eastAsia" w:ascii="楷体_GB2312" w:eastAsia="楷体_GB2312"/>
        </w:rPr>
        <w:t>（二）整治重点内容</w:t>
      </w:r>
      <w:r>
        <w:rPr>
          <w:rFonts w:hint="eastAsia"/>
        </w:rPr>
        <w:t>。紧紧围绕市民停车诉求,重点针对影响交通通行、存在安全隐患的车辆乱停乱放、侵占盲道、占压绿化、堵塞通道、私设泊位、破坏设施、挤占残疾人泊</w:t>
      </w:r>
    </w:p>
    <w:p>
      <w:pPr>
        <w:spacing w:line="550" w:lineRule="exact"/>
      </w:pPr>
      <w:r>
        <w:rPr>
          <w:rFonts w:hint="eastAsia"/>
        </w:rPr>
        <w:t>位、乱收费、占用停车泊位乱堆放乱设摊等不文明、不规范、</w:t>
      </w:r>
    </w:p>
    <w:p>
      <w:pPr>
        <w:spacing w:line="550" w:lineRule="exact"/>
      </w:pPr>
      <w:r>
        <w:rPr>
          <w:rFonts w:hint="eastAsia"/>
        </w:rPr>
        <w:t>不合法停车建设管理行为。</w:t>
      </w:r>
    </w:p>
    <w:p>
      <w:pPr>
        <w:spacing w:line="550" w:lineRule="exact"/>
        <w:ind w:firstLine="640" w:firstLineChars="200"/>
        <w:rPr>
          <w:rFonts w:ascii="黑体" w:hAnsi="黑体" w:eastAsia="黑体"/>
        </w:rPr>
      </w:pPr>
      <w:r>
        <w:rPr>
          <w:rFonts w:hint="eastAsia" w:ascii="黑体" w:hAnsi="黑体" w:eastAsia="黑体"/>
        </w:rPr>
        <w:t>三、整治任务分工</w:t>
      </w:r>
    </w:p>
    <w:p>
      <w:pPr>
        <w:spacing w:line="550" w:lineRule="exact"/>
        <w:ind w:firstLine="640" w:firstLineChars="200"/>
        <w:rPr>
          <w:rFonts w:ascii="楷体_GB2312" w:eastAsia="楷体_GB2312"/>
        </w:rPr>
      </w:pPr>
      <w:r>
        <w:rPr>
          <w:rFonts w:hint="eastAsia" w:ascii="楷体_GB2312" w:eastAsia="楷体_GB2312"/>
        </w:rPr>
        <w:t>（一）各街道（老洪港）</w:t>
      </w:r>
    </w:p>
    <w:p>
      <w:pPr>
        <w:spacing w:line="550" w:lineRule="exact"/>
        <w:ind w:firstLine="643" w:firstLineChars="200"/>
      </w:pPr>
      <w:r>
        <w:rPr>
          <w:rFonts w:hint="eastAsia"/>
          <w:b/>
        </w:rPr>
        <w:t>1.建立健全专项整治组织体系。</w:t>
      </w:r>
      <w:r>
        <w:rPr>
          <w:rFonts w:hint="eastAsia"/>
        </w:rPr>
        <w:t xml:space="preserve">制定停车秩序专项整治工作方案,建立整治组织领导机构,按照优先保障居住区、医院学校等民生停车需求的整治要求,科学编排辖区2021年度重点整治区域及重点整治任务,将整治任务细化明确具体责任人,并建立健全宣传发动、会商会办、督查考评等推进机制,牵头组织辖区公安、综合执法和相关责任单位开展专项整治。 </w:t>
      </w:r>
    </w:p>
    <w:p>
      <w:pPr>
        <w:spacing w:line="550" w:lineRule="exact"/>
        <w:ind w:firstLine="643" w:firstLineChars="200"/>
      </w:pPr>
      <w:r>
        <w:rPr>
          <w:rFonts w:hint="eastAsia"/>
          <w:b/>
        </w:rPr>
        <w:t>2.开展停车秩序问题排查梳理。</w:t>
      </w:r>
      <w:r>
        <w:rPr>
          <w:rFonts w:hint="eastAsia"/>
        </w:rPr>
        <w:t>全面摸排辖区所有停车场建设管理情况以及停车矛盾突出区域问题现状情况,按照“一场一档、一路(区域)一档”要求,分别建档立项,建立停车建设管理数据库,逐个梳理分析停车场建设管理问题及区域停车供需矛盾问题及成因,因地制宜分类研究制定整治措施及经费保障渠道。</w:t>
      </w:r>
    </w:p>
    <w:p>
      <w:pPr>
        <w:spacing w:line="550" w:lineRule="exact"/>
        <w:ind w:firstLine="643" w:firstLineChars="200"/>
      </w:pPr>
      <w:r>
        <w:rPr>
          <w:rFonts w:hint="eastAsia"/>
          <w:b/>
        </w:rPr>
        <w:t>3.强化停车规范管理。</w:t>
      </w:r>
      <w:r>
        <w:rPr>
          <w:rFonts w:hint="eastAsia"/>
        </w:rPr>
        <w:t>加强责任区停车规范管理,规范设置停车指示标志标线,制止劝导占道及占用绿化带停车、不按标志标线停车等不规范停车行为。组织专门队伍加强重点道路、窗口地区停车秩序巡查管理,及时发现和劝阻乱停、违停等不规范停车行为,综合运用宣传教育、执法查处、媒体曝光等措施,强化停车规范管理,力求重点区域车辆停放规范有序、标识标志统一规范。对于不规范停车场收费牌等违规停车管理设施要立即拆除整改,对未经审批设置的非法停车场要坚决取缔。</w:t>
      </w:r>
    </w:p>
    <w:p>
      <w:pPr>
        <w:spacing w:line="550" w:lineRule="exact"/>
        <w:ind w:firstLine="643" w:firstLineChars="200"/>
      </w:pPr>
      <w:r>
        <w:rPr>
          <w:rFonts w:hint="eastAsia"/>
          <w:b/>
        </w:rPr>
        <w:t>4.严格执法查处。</w:t>
      </w:r>
      <w:r>
        <w:rPr>
          <w:rFonts w:hint="eastAsia"/>
        </w:rPr>
        <w:t>会同综合执法局、市场监管局、公安公局等执法部门,加大违法设置停车场(设施)、违停、乱停的法查处力度,严格查处不履行市容环卫责任区管理责任、私设停车场(设施)、违法乱停车、停车乱收费等违法行为,坚决取缔违法设置的各类停车场及停车设施。</w:t>
      </w:r>
    </w:p>
    <w:p>
      <w:pPr>
        <w:spacing w:line="550" w:lineRule="exact"/>
        <w:ind w:firstLine="643" w:firstLineChars="200"/>
      </w:pPr>
      <w:r>
        <w:rPr>
          <w:rFonts w:hint="eastAsia"/>
          <w:b/>
        </w:rPr>
        <w:t>5.科学增设泊位。</w:t>
      </w:r>
      <w:r>
        <w:rPr>
          <w:rFonts w:hint="eastAsia"/>
        </w:rPr>
        <w:t>按照疏堵结合、能建则建原则,针对部分市民基本停车需求与停车泊位矛盾较大、乱停车问题突出的区域摸底排查,采取宽幅路内、闲置地块、闲置厂房等设置临时停车区域,结合小区改造增设停车泊位,推进停车泊位共享等措施,逐步缓解停车难问题,力求基本满足居民停车需求。</w:t>
      </w:r>
    </w:p>
    <w:p>
      <w:pPr>
        <w:spacing w:line="550" w:lineRule="exact"/>
        <w:ind w:firstLine="640" w:firstLineChars="200"/>
        <w:rPr>
          <w:rFonts w:ascii="楷体_GB2312" w:eastAsia="楷体_GB2312"/>
        </w:rPr>
      </w:pPr>
      <w:r>
        <w:rPr>
          <w:rFonts w:hint="eastAsia" w:ascii="楷体_GB2312" w:eastAsia="楷体_GB2312"/>
        </w:rPr>
        <w:t>（二）各有关部门、各有关单位</w:t>
      </w:r>
    </w:p>
    <w:p>
      <w:pPr>
        <w:ind w:firstLine="643" w:firstLineChars="200"/>
      </w:pPr>
      <w:r>
        <w:rPr>
          <w:rFonts w:hint="eastAsia"/>
          <w:b/>
        </w:rPr>
        <w:t>社会事业局</w:t>
      </w:r>
      <w:r>
        <w:rPr>
          <w:rFonts w:hint="eastAsia"/>
        </w:rPr>
        <w:t>负责区域内教育、医疗机构停车秩序整治工作。</w:t>
      </w:r>
    </w:p>
    <w:p>
      <w:pPr>
        <w:ind w:firstLine="643" w:firstLineChars="200"/>
      </w:pPr>
      <w:r>
        <w:rPr>
          <w:rFonts w:hint="eastAsia"/>
          <w:b/>
        </w:rPr>
        <w:t>经济发展局（物价处）</w:t>
      </w:r>
      <w:r>
        <w:rPr>
          <w:rFonts w:hint="eastAsia"/>
        </w:rPr>
        <w:t>依法查处查处停车场违法收费、乱收费等停车收费问题。</w:t>
      </w:r>
    </w:p>
    <w:p>
      <w:pPr>
        <w:ind w:firstLine="643" w:firstLineChars="200"/>
      </w:pPr>
      <w:r>
        <w:rPr>
          <w:rFonts w:hint="eastAsia"/>
          <w:b/>
        </w:rPr>
        <w:t>住建局</w:t>
      </w:r>
      <w:r>
        <w:rPr>
          <w:rFonts w:hint="eastAsia"/>
        </w:rPr>
        <w:t>负责利用人防设施设置的停车场停车秩序整治工作；按时按序做好本年度新建游园绿地增设停车泊位配建计划。</w:t>
      </w:r>
    </w:p>
    <w:p>
      <w:pPr>
        <w:ind w:firstLine="643" w:firstLineChars="200"/>
      </w:pPr>
      <w:r>
        <w:rPr>
          <w:rFonts w:hint="eastAsia"/>
          <w:b/>
        </w:rPr>
        <w:t>综合执法局</w:t>
      </w:r>
      <w:r>
        <w:rPr>
          <w:rFonts w:hint="eastAsia"/>
        </w:rPr>
        <w:t>牵头组织全区停车秩序专项整治。负责停车秩序专项整治工作的组织、协调、检查、交办、督导、考评和信息收集研判、汇总上报等工作,开展绿化带违停、非机动车停放管理和违法查处,组织和督导辖区产权单位及管理责任主体严格履行市容环卫责任区管理责任,监督共享单车建设单位加强停放区域及车容的管理,规范共享单车停放秩序。</w:t>
      </w:r>
    </w:p>
    <w:p>
      <w:pPr>
        <w:ind w:firstLine="643" w:firstLineChars="200"/>
      </w:pPr>
      <w:r>
        <w:rPr>
          <w:rFonts w:hint="eastAsia"/>
          <w:b/>
        </w:rPr>
        <w:t>炜赋物业、星湖置业</w:t>
      </w:r>
      <w:r>
        <w:rPr>
          <w:rFonts w:hint="eastAsia"/>
        </w:rPr>
        <w:t>负责国资自有停车场停车秩序整治工作。</w:t>
      </w:r>
    </w:p>
    <w:p>
      <w:pPr>
        <w:ind w:firstLine="643" w:firstLineChars="200"/>
      </w:pPr>
      <w:r>
        <w:rPr>
          <w:rFonts w:hint="eastAsia"/>
          <w:b/>
        </w:rPr>
        <w:t>交警三、五大队</w:t>
      </w:r>
      <w:r>
        <w:rPr>
          <w:rFonts w:hint="eastAsia"/>
        </w:rPr>
        <w:t>负责区道路机动车停车秩序管理,依法查处主次干道以及路牙以上道路范围内及建筑退界区内的机动车违停行为。充分发挥“警城”联动的优势,组织排查梳理主次干道和支路停车秩序混乱路段、市民反复投诉停车问题路段,按照“重点攻坚、坚持实效”的思路,切实抓紧抓实,逐一消除乱点,致力实现突破。综合采取违停贴单、现场劝导、清障拖移等手段,坚持常态管理，强化震慑效应。</w:t>
      </w:r>
    </w:p>
    <w:p>
      <w:pPr>
        <w:spacing w:line="550" w:lineRule="exact"/>
        <w:ind w:firstLine="640" w:firstLineChars="200"/>
      </w:pPr>
      <w:r>
        <w:rPr>
          <w:rFonts w:hint="eastAsia"/>
        </w:rPr>
        <w:t>公安分局、自然资源和规划开发区分局、市场监管局等单位按照职能分工,分别负责所辖单位及停车场停车秩序整治,并协同各有关部门开展停车秩序整治。</w:t>
      </w:r>
    </w:p>
    <w:p>
      <w:pPr>
        <w:spacing w:line="550" w:lineRule="exact"/>
        <w:ind w:firstLine="640" w:firstLineChars="200"/>
        <w:rPr>
          <w:rFonts w:ascii="黑体" w:hAnsi="黑体" w:eastAsia="黑体"/>
        </w:rPr>
      </w:pPr>
      <w:r>
        <w:rPr>
          <w:rFonts w:hint="eastAsia" w:ascii="黑体" w:hAnsi="黑体" w:eastAsia="黑体"/>
        </w:rPr>
        <w:t>四、整治阶段安排</w:t>
      </w:r>
    </w:p>
    <w:p>
      <w:pPr>
        <w:spacing w:line="550" w:lineRule="exact"/>
        <w:ind w:firstLine="640" w:firstLineChars="200"/>
      </w:pPr>
      <w:r>
        <w:rPr>
          <w:rFonts w:hint="eastAsia"/>
        </w:rPr>
        <w:t>专项整治从7月中旬起至12月底,共分三个阶段。</w:t>
      </w:r>
    </w:p>
    <w:p>
      <w:pPr>
        <w:spacing w:line="550" w:lineRule="exact"/>
        <w:ind w:firstLine="640" w:firstLineChars="200"/>
        <w:rPr>
          <w:rFonts w:ascii="楷体_GB2312" w:eastAsia="楷体_GB2312"/>
        </w:rPr>
      </w:pPr>
      <w:r>
        <w:rPr>
          <w:rFonts w:hint="eastAsia" w:ascii="楷体_GB2312" w:eastAsia="楷体_GB2312"/>
        </w:rPr>
        <w:t>第一阶段:调查模底阶段（7月中旬至7月底）</w:t>
      </w:r>
    </w:p>
    <w:p>
      <w:pPr>
        <w:spacing w:line="550" w:lineRule="exact"/>
        <w:ind w:firstLine="640" w:firstLineChars="200"/>
      </w:pPr>
      <w:r>
        <w:rPr>
          <w:rFonts w:hint="eastAsia"/>
        </w:rPr>
        <w:t>全面排查区停车秩序乱点,制定整治方案,确定重点整治区域和重点整治内容,建立组织体系,整合有效整治力量,开展整治宣传发动,全面启动专项整治行动。</w:t>
      </w:r>
    </w:p>
    <w:p>
      <w:pPr>
        <w:spacing w:line="550" w:lineRule="exact"/>
        <w:ind w:firstLine="640" w:firstLineChars="200"/>
        <w:rPr>
          <w:rFonts w:ascii="楷体_GB2312" w:eastAsia="楷体_GB2312"/>
        </w:rPr>
      </w:pPr>
      <w:r>
        <w:rPr>
          <w:rFonts w:hint="eastAsia" w:ascii="楷体_GB2312" w:eastAsia="楷体_GB2312"/>
        </w:rPr>
        <w:t>第二阶段:集中整治阶段（8月1日至10月底）</w:t>
      </w:r>
    </w:p>
    <w:p>
      <w:pPr>
        <w:spacing w:line="550" w:lineRule="exact"/>
        <w:ind w:firstLine="640" w:firstLineChars="200"/>
      </w:pPr>
      <w:r>
        <w:rPr>
          <w:rFonts w:hint="eastAsia"/>
        </w:rPr>
        <w:t>组织开展路面及重点区域停车秩序专项整治。整合攻坚力量,建立辖区城管、交警、街道多部门联合执法机制,加大各类违法停车行为的查处力度,并在一定范围内对处罚信息情况进行公示,形成全社会关注和共同参与的浓厚氛围。在较短时间内实现广大居民守法停车意识明显提升,停车乱象明显减少,因乱致堵现象大幅度降低。</w:t>
      </w:r>
    </w:p>
    <w:p>
      <w:pPr>
        <w:spacing w:line="550" w:lineRule="exact"/>
        <w:ind w:firstLine="640" w:firstLineChars="200"/>
        <w:rPr>
          <w:rFonts w:ascii="楷体_GB2312" w:eastAsia="楷体_GB2312"/>
        </w:rPr>
      </w:pPr>
      <w:r>
        <w:rPr>
          <w:rFonts w:hint="eastAsia" w:ascii="楷体_GB2312" w:eastAsia="楷体_GB2312"/>
        </w:rPr>
        <w:t>第三阶段:巩固提升阶段（</w:t>
      </w:r>
      <w:r>
        <w:rPr>
          <w:rFonts w:hint="eastAsia" w:ascii="楷体_GB2312" w:eastAsia="楷体_GB2312"/>
          <w:lang w:val="en-US" w:eastAsia="zh-CN"/>
        </w:rPr>
        <w:t>1</w:t>
      </w:r>
      <w:r>
        <w:rPr>
          <w:rFonts w:hint="eastAsia" w:ascii="楷体_GB2312" w:eastAsia="楷体_GB2312"/>
        </w:rPr>
        <w:t>1月1日至12月底）</w:t>
      </w:r>
    </w:p>
    <w:p>
      <w:pPr>
        <w:spacing w:line="550" w:lineRule="exact"/>
        <w:ind w:firstLine="640" w:firstLineChars="200"/>
      </w:pPr>
      <w:r>
        <w:rPr>
          <w:rFonts w:hint="eastAsia"/>
        </w:rPr>
        <w:t>紧紧围绕“三增、两严、一提升”,强化停车设施建设和停车秩序执法管理,保持常态化严管态势。围绕责任清晰,</w:t>
      </w:r>
    </w:p>
    <w:p>
      <w:pPr>
        <w:spacing w:line="550" w:lineRule="exact"/>
        <w:ind w:firstLine="640" w:firstLineChars="200"/>
      </w:pPr>
      <w:r>
        <w:rPr>
          <w:rFonts w:hint="eastAsia"/>
        </w:rPr>
        <w:t>机制完善,措施到位,管理规范,秩序良好的工作目标,建立健全长效常态管理机制,落实长效管理措施,不断提升日常监督管理水平,为我区停车建设管理整治三年行动奠定良好基础。</w:t>
      </w:r>
    </w:p>
    <w:p>
      <w:pPr>
        <w:spacing w:line="550" w:lineRule="exact"/>
        <w:ind w:firstLine="640" w:firstLineChars="200"/>
        <w:rPr>
          <w:rFonts w:ascii="黑体" w:hAnsi="黑体" w:eastAsia="黑体"/>
        </w:rPr>
      </w:pPr>
      <w:r>
        <w:rPr>
          <w:rFonts w:hint="eastAsia" w:ascii="黑体" w:hAnsi="黑体" w:eastAsia="黑体"/>
        </w:rPr>
        <w:t>五、工作要求</w:t>
      </w:r>
    </w:p>
    <w:p>
      <w:pPr>
        <w:ind w:firstLine="640" w:firstLineChars="200"/>
      </w:pPr>
      <w:r>
        <w:rPr>
          <w:rFonts w:hint="eastAsia" w:ascii="楷体_GB2312" w:eastAsia="楷体_GB2312"/>
        </w:rPr>
        <w:t>（一）高度重视，迅速启动。</w:t>
      </w:r>
      <w:r>
        <w:rPr>
          <w:rFonts w:hint="eastAsia"/>
        </w:rPr>
        <w:t>停车秩序专项整治是贯彻落实市委、市政府停车建设管理整治三年提升行动方案部署的一项重要工作,各单位、各部门要充分认识到开展停车秩序专项整治工作的重要性和紧迫性,迅速制定工作措施,集中整治力量,全力推进整治工作。</w:t>
      </w:r>
    </w:p>
    <w:p>
      <w:pPr>
        <w:ind w:firstLine="640" w:firstLineChars="200"/>
      </w:pPr>
      <w:r>
        <w:rPr>
          <w:rFonts w:hint="eastAsia" w:ascii="楷体_GB2312" w:eastAsia="楷体_GB2312"/>
        </w:rPr>
        <w:t>（二）细化措施,协调推进。</w:t>
      </w:r>
      <w:r>
        <w:rPr>
          <w:rFonts w:hint="eastAsia"/>
        </w:rPr>
        <w:t>各单位、各部门要结合实际,依照本方案细化工作措施和考评办法,落实责任、强化考评,同时采取随机抽查、明察暗访、专项督查等方式,确保整治工作全面落到实处。区停车建设工作推进小组办公室（参见通开发管办〔2021〕47号文区停车整治推进小组组织架构）要加强检查、督导和考核，对整治工作不力、效果不好的部门及责任人进行通报，并将情况报党工委、管委会。</w:t>
      </w:r>
    </w:p>
    <w:p>
      <w:pPr>
        <w:ind w:firstLine="640" w:firstLineChars="200"/>
        <w:rPr>
          <w:rFonts w:ascii="仿宋" w:hAnsi="仿宋" w:eastAsia="仿宋" w:cs="仿宋"/>
        </w:rPr>
      </w:pPr>
      <w:r>
        <w:rPr>
          <w:rFonts w:hint="eastAsia" w:ascii="楷体_GB2312" w:eastAsia="楷体_GB2312"/>
        </w:rPr>
        <w:t>（三）广泛宣传,营造声势。</w:t>
      </w:r>
      <w:r>
        <w:rPr>
          <w:rFonts w:hint="eastAsia"/>
        </w:rPr>
        <w:t>各单位、各部门要精心策划和组织各类宣传发动活动,持续开展停车建设管理整治宣传,积极营造良好的舆论氛围,争取市民群众对停车专项整治工作的支持,自觉参与配合整治工作。</w:t>
      </w:r>
    </w:p>
    <w:p>
      <w:pPr>
        <w:ind w:firstLine="640" w:firstLineChars="200"/>
      </w:pPr>
      <w:r>
        <w:rPr>
          <w:rFonts w:hint="eastAsia" w:ascii="楷体_GB2312" w:eastAsia="楷体_GB2312"/>
        </w:rPr>
        <w:t>（四）信息共享,强化研判。</w:t>
      </w:r>
      <w:r>
        <w:rPr>
          <w:rFonts w:hint="eastAsia"/>
        </w:rPr>
        <w:t>各单位、各部门要落实按月上报、季度汇总工作机制,安排专人做好信息收集研判及汇总上报工作,加强与停车建设管理办公室的沟通联络。办公室要适时调度面上整治推进情况,会同相关单位加快推进停车秩序智能化监管系统建设，及时组织面上整治工作的分析梳理研判，针对重点难点问题组织协调推进，并负责将整治工作进展情况及时汇总报区停车建设工作推进小组办公室（联系人：黄正杰，电话：85981006，邮箱：kfqtczz@163.com）。</w:t>
      </w:r>
    </w:p>
    <w:p>
      <w:pPr>
        <w:ind w:firstLine="640" w:firstLineChars="200"/>
        <w:rPr>
          <w:rFonts w:ascii="仿宋" w:hAnsi="仿宋" w:eastAsia="仿宋" w:cs="仿宋"/>
        </w:rPr>
      </w:pPr>
    </w:p>
    <w:p>
      <w:pPr>
        <w:spacing w:line="550" w:lineRule="exact"/>
        <w:ind w:firstLine="640" w:firstLineChars="200"/>
      </w:pPr>
      <w:r>
        <w:rPr>
          <w:rFonts w:hint="eastAsia"/>
        </w:rPr>
        <w:t>附件:1.2021年开发区停车秩序专项整治重点道路一览表</w:t>
      </w:r>
    </w:p>
    <w:p>
      <w:pPr>
        <w:spacing w:line="550" w:lineRule="exact"/>
        <w:ind w:firstLine="640" w:firstLineChars="200"/>
      </w:pPr>
      <w:r>
        <w:rPr>
          <w:rFonts w:hint="eastAsia"/>
        </w:rPr>
        <w:t xml:space="preserve">     2.2021年开发区停车秩序专项整治重点区域一览表</w:t>
      </w:r>
    </w:p>
    <w:p>
      <w:pPr>
        <w:widowControl/>
        <w:spacing w:line="560" w:lineRule="exact"/>
        <w:rPr>
          <w:rFonts w:ascii="Times New Roman" w:cs="Times New Roman"/>
          <w:spacing w:val="2"/>
          <w:kern w:val="0"/>
        </w:rPr>
      </w:pPr>
      <w:r>
        <w:rPr>
          <w:rFonts w:ascii="Times New Roman" w:cs="Times New Roman"/>
          <w:spacing w:val="2"/>
          <w:kern w:val="0"/>
        </w:rPr>
        <w:br w:type="page"/>
      </w:r>
    </w:p>
    <w:p>
      <w:pPr>
        <w:widowControl/>
        <w:spacing w:line="560" w:lineRule="exact"/>
        <w:rPr>
          <w:rFonts w:ascii="黑体" w:hAnsi="黑体" w:eastAsia="黑体" w:cs="Times New Roman"/>
          <w:spacing w:val="2"/>
          <w:kern w:val="0"/>
        </w:rPr>
      </w:pPr>
      <w:r>
        <w:rPr>
          <w:rFonts w:hint="eastAsia" w:ascii="黑体" w:hAnsi="黑体" w:eastAsia="黑体" w:cs="Times New Roman"/>
          <w:spacing w:val="2"/>
          <w:kern w:val="0"/>
        </w:rPr>
        <w:t>附件1</w:t>
      </w:r>
    </w:p>
    <w:tbl>
      <w:tblPr>
        <w:tblStyle w:val="9"/>
        <w:tblW w:w="5000" w:type="pct"/>
        <w:tblInd w:w="0" w:type="dxa"/>
        <w:tblLayout w:type="autofit"/>
        <w:tblCellMar>
          <w:top w:w="0" w:type="dxa"/>
          <w:left w:w="108" w:type="dxa"/>
          <w:bottom w:w="0" w:type="dxa"/>
          <w:right w:w="108" w:type="dxa"/>
        </w:tblCellMar>
      </w:tblPr>
      <w:tblGrid>
        <w:gridCol w:w="850"/>
        <w:gridCol w:w="3097"/>
        <w:gridCol w:w="1656"/>
        <w:gridCol w:w="3457"/>
      </w:tblGrid>
      <w:tr>
        <w:tblPrEx>
          <w:tblCellMar>
            <w:top w:w="0" w:type="dxa"/>
            <w:left w:w="108" w:type="dxa"/>
            <w:bottom w:w="0" w:type="dxa"/>
            <w:right w:w="108" w:type="dxa"/>
          </w:tblCellMar>
        </w:tblPrEx>
        <w:trPr>
          <w:trHeight w:val="522" w:hRule="atLeast"/>
        </w:trPr>
        <w:tc>
          <w:tcPr>
            <w:tcW w:w="5000" w:type="pct"/>
            <w:gridSpan w:val="4"/>
            <w:tcBorders>
              <w:top w:val="nil"/>
              <w:left w:val="nil"/>
              <w:bottom w:val="nil"/>
              <w:right w:val="nil"/>
            </w:tcBorders>
            <w:shd w:val="clear" w:color="auto" w:fill="auto"/>
            <w:vAlign w:val="center"/>
          </w:tcPr>
          <w:p>
            <w:pPr>
              <w:widowControl/>
              <w:jc w:val="center"/>
              <w:rPr>
                <w:rFonts w:ascii="Times New Roman" w:eastAsia="仿宋" w:cs="Times New Roman"/>
                <w:b/>
                <w:bCs/>
                <w:color w:val="000000"/>
                <w:kern w:val="0"/>
                <w:sz w:val="36"/>
                <w:szCs w:val="36"/>
              </w:rPr>
            </w:pPr>
            <w:r>
              <w:rPr>
                <w:rFonts w:ascii="Times New Roman" w:eastAsia="方正小标宋_GBK" w:cs="Times New Roman"/>
                <w:sz w:val="44"/>
                <w:szCs w:val="44"/>
              </w:rPr>
              <w:t>开发区停车秩序专项整治严管道路一览表</w:t>
            </w:r>
          </w:p>
        </w:tc>
      </w:tr>
      <w:tr>
        <w:tblPrEx>
          <w:tblCellMar>
            <w:top w:w="0" w:type="dxa"/>
            <w:left w:w="108" w:type="dxa"/>
            <w:bottom w:w="0" w:type="dxa"/>
            <w:right w:w="108" w:type="dxa"/>
          </w:tblCellMar>
        </w:tblPrEx>
        <w:trPr>
          <w:trHeight w:val="642" w:hRule="atLeast"/>
        </w:trPr>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黑体" w:cs="Times New Roman"/>
                <w:bCs/>
                <w:color w:val="000000"/>
                <w:kern w:val="0"/>
                <w:sz w:val="28"/>
                <w:szCs w:val="28"/>
              </w:rPr>
            </w:pPr>
            <w:r>
              <w:rPr>
                <w:rFonts w:ascii="Times New Roman" w:eastAsia="黑体" w:cs="Times New Roman"/>
                <w:bCs/>
                <w:color w:val="000000"/>
                <w:kern w:val="0"/>
                <w:sz w:val="28"/>
                <w:szCs w:val="28"/>
              </w:rPr>
              <w:t>序号</w:t>
            </w:r>
          </w:p>
        </w:tc>
        <w:tc>
          <w:tcPr>
            <w:tcW w:w="1709" w:type="pct"/>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eastAsia="黑体" w:cs="Times New Roman"/>
                <w:bCs/>
                <w:color w:val="000000"/>
                <w:kern w:val="0"/>
                <w:sz w:val="28"/>
                <w:szCs w:val="28"/>
              </w:rPr>
            </w:pPr>
            <w:r>
              <w:rPr>
                <w:rFonts w:ascii="Times New Roman" w:eastAsia="黑体" w:cs="Times New Roman"/>
                <w:bCs/>
                <w:color w:val="000000"/>
                <w:kern w:val="0"/>
                <w:sz w:val="28"/>
                <w:szCs w:val="28"/>
              </w:rPr>
              <w:t>责任单位</w:t>
            </w:r>
          </w:p>
        </w:tc>
        <w:tc>
          <w:tcPr>
            <w:tcW w:w="91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eastAsia="黑体" w:cs="Times New Roman"/>
                <w:bCs/>
                <w:color w:val="000000"/>
                <w:kern w:val="0"/>
                <w:sz w:val="28"/>
                <w:szCs w:val="28"/>
              </w:rPr>
            </w:pPr>
            <w:r>
              <w:rPr>
                <w:rFonts w:ascii="Times New Roman" w:eastAsia="黑体" w:cs="Times New Roman"/>
                <w:bCs/>
                <w:color w:val="000000"/>
                <w:kern w:val="0"/>
                <w:sz w:val="28"/>
                <w:szCs w:val="28"/>
              </w:rPr>
              <w:t>道路名称</w:t>
            </w:r>
          </w:p>
        </w:tc>
        <w:tc>
          <w:tcPr>
            <w:tcW w:w="19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eastAsia="黑体" w:cs="Times New Roman"/>
                <w:bCs/>
                <w:color w:val="000000"/>
                <w:kern w:val="0"/>
                <w:sz w:val="28"/>
                <w:szCs w:val="28"/>
              </w:rPr>
            </w:pPr>
            <w:r>
              <w:rPr>
                <w:rFonts w:ascii="Times New Roman" w:eastAsia="黑体" w:cs="Times New Roman"/>
                <w:bCs/>
                <w:color w:val="000000"/>
                <w:kern w:val="0"/>
                <w:sz w:val="28"/>
                <w:szCs w:val="28"/>
              </w:rPr>
              <w:t>起始点</w:t>
            </w:r>
          </w:p>
        </w:tc>
      </w:tr>
      <w:tr>
        <w:tblPrEx>
          <w:tblCellMar>
            <w:top w:w="0" w:type="dxa"/>
            <w:left w:w="108" w:type="dxa"/>
            <w:bottom w:w="0" w:type="dxa"/>
            <w:right w:w="108" w:type="dxa"/>
          </w:tblCellMar>
        </w:tblPrEx>
        <w:trPr>
          <w:trHeight w:val="522" w:hRule="atLeast"/>
        </w:trPr>
        <w:tc>
          <w:tcPr>
            <w:tcW w:w="4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 w:cs="Times New Roman"/>
                <w:color w:val="000000"/>
                <w:kern w:val="0"/>
                <w:sz w:val="28"/>
                <w:szCs w:val="28"/>
              </w:rPr>
            </w:pPr>
            <w:r>
              <w:rPr>
                <w:rFonts w:ascii="Times New Roman" w:eastAsia="仿宋" w:cs="Times New Roman"/>
                <w:color w:val="000000"/>
                <w:kern w:val="0"/>
                <w:sz w:val="28"/>
                <w:szCs w:val="28"/>
              </w:rPr>
              <w:t>1</w:t>
            </w:r>
          </w:p>
        </w:tc>
        <w:tc>
          <w:tcPr>
            <w:tcW w:w="1709"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cs="Times New Roman"/>
                <w:color w:val="000000"/>
                <w:kern w:val="0"/>
                <w:sz w:val="28"/>
                <w:szCs w:val="28"/>
              </w:rPr>
            </w:pPr>
            <w:r>
              <w:rPr>
                <w:rFonts w:hint="eastAsia" w:cs="Times New Roman"/>
                <w:color w:val="000000"/>
                <w:kern w:val="0"/>
                <w:sz w:val="28"/>
                <w:szCs w:val="28"/>
              </w:rPr>
              <w:t>炜赋物业、新开街道</w:t>
            </w:r>
          </w:p>
        </w:tc>
        <w:tc>
          <w:tcPr>
            <w:tcW w:w="914" w:type="pct"/>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8"/>
                <w:szCs w:val="28"/>
              </w:rPr>
            </w:pPr>
            <w:r>
              <w:rPr>
                <w:rFonts w:hint="eastAsia" w:cs="Times New Roman"/>
                <w:color w:val="000000"/>
                <w:kern w:val="0"/>
                <w:sz w:val="28"/>
                <w:szCs w:val="28"/>
              </w:rPr>
              <w:t>长虹路</w:t>
            </w:r>
          </w:p>
        </w:tc>
        <w:tc>
          <w:tcPr>
            <w:tcW w:w="1907" w:type="pct"/>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8"/>
                <w:szCs w:val="28"/>
              </w:rPr>
            </w:pPr>
            <w:r>
              <w:rPr>
                <w:rFonts w:hint="eastAsia" w:cs="Times New Roman"/>
                <w:color w:val="000000"/>
                <w:kern w:val="0"/>
                <w:sz w:val="28"/>
                <w:szCs w:val="28"/>
              </w:rPr>
              <w:t>东方大道-裤子港河</w:t>
            </w:r>
          </w:p>
        </w:tc>
      </w:tr>
      <w:tr>
        <w:tblPrEx>
          <w:tblCellMar>
            <w:top w:w="0" w:type="dxa"/>
            <w:left w:w="108" w:type="dxa"/>
            <w:bottom w:w="0" w:type="dxa"/>
            <w:right w:w="108" w:type="dxa"/>
          </w:tblCellMar>
        </w:tblPrEx>
        <w:trPr>
          <w:trHeight w:val="522" w:hRule="atLeast"/>
        </w:trPr>
        <w:tc>
          <w:tcPr>
            <w:tcW w:w="4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 w:cs="Times New Roman"/>
                <w:color w:val="000000"/>
                <w:kern w:val="0"/>
                <w:sz w:val="28"/>
                <w:szCs w:val="28"/>
              </w:rPr>
            </w:pPr>
            <w:r>
              <w:rPr>
                <w:rFonts w:ascii="Times New Roman" w:eastAsia="仿宋" w:cs="Times New Roman"/>
                <w:color w:val="000000"/>
                <w:kern w:val="0"/>
                <w:sz w:val="28"/>
                <w:szCs w:val="28"/>
              </w:rPr>
              <w:t>2</w:t>
            </w:r>
          </w:p>
        </w:tc>
        <w:tc>
          <w:tcPr>
            <w:tcW w:w="1709" w:type="pct"/>
            <w:vMerge w:val="continue"/>
            <w:tcBorders>
              <w:top w:val="nil"/>
              <w:left w:val="single" w:color="auto" w:sz="4" w:space="0"/>
              <w:bottom w:val="single" w:color="auto" w:sz="4" w:space="0"/>
              <w:right w:val="single" w:color="auto" w:sz="4" w:space="0"/>
            </w:tcBorders>
            <w:vAlign w:val="center"/>
          </w:tcPr>
          <w:p>
            <w:pPr>
              <w:widowControl/>
              <w:jc w:val="left"/>
              <w:rPr>
                <w:rFonts w:cs="Times New Roman"/>
                <w:color w:val="000000"/>
                <w:kern w:val="0"/>
                <w:sz w:val="28"/>
                <w:szCs w:val="28"/>
              </w:rPr>
            </w:pPr>
          </w:p>
        </w:tc>
        <w:tc>
          <w:tcPr>
            <w:tcW w:w="914" w:type="pct"/>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8"/>
                <w:szCs w:val="28"/>
              </w:rPr>
            </w:pPr>
            <w:r>
              <w:rPr>
                <w:rFonts w:hint="eastAsia" w:cs="Times New Roman"/>
                <w:color w:val="000000"/>
                <w:kern w:val="0"/>
                <w:sz w:val="28"/>
                <w:szCs w:val="28"/>
              </w:rPr>
              <w:t>长川路</w:t>
            </w:r>
          </w:p>
        </w:tc>
        <w:tc>
          <w:tcPr>
            <w:tcW w:w="1907" w:type="pct"/>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8"/>
                <w:szCs w:val="28"/>
              </w:rPr>
            </w:pPr>
            <w:r>
              <w:rPr>
                <w:rFonts w:hint="eastAsia" w:cs="Times New Roman"/>
                <w:color w:val="000000"/>
                <w:kern w:val="0"/>
                <w:sz w:val="28"/>
                <w:szCs w:val="28"/>
              </w:rPr>
              <w:t>龙兴路-军山路</w:t>
            </w:r>
          </w:p>
        </w:tc>
      </w:tr>
      <w:tr>
        <w:tblPrEx>
          <w:tblCellMar>
            <w:top w:w="0" w:type="dxa"/>
            <w:left w:w="108" w:type="dxa"/>
            <w:bottom w:w="0" w:type="dxa"/>
            <w:right w:w="108" w:type="dxa"/>
          </w:tblCellMar>
        </w:tblPrEx>
        <w:trPr>
          <w:trHeight w:val="522" w:hRule="atLeast"/>
        </w:trPr>
        <w:tc>
          <w:tcPr>
            <w:tcW w:w="4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 w:cs="Times New Roman"/>
                <w:color w:val="000000"/>
                <w:kern w:val="0"/>
                <w:sz w:val="28"/>
                <w:szCs w:val="28"/>
              </w:rPr>
            </w:pPr>
            <w:r>
              <w:rPr>
                <w:rFonts w:ascii="Times New Roman" w:eastAsia="仿宋" w:cs="Times New Roman"/>
                <w:color w:val="000000"/>
                <w:kern w:val="0"/>
                <w:sz w:val="28"/>
                <w:szCs w:val="28"/>
              </w:rPr>
              <w:t>3</w:t>
            </w:r>
          </w:p>
        </w:tc>
        <w:tc>
          <w:tcPr>
            <w:tcW w:w="1709" w:type="pct"/>
            <w:vMerge w:val="continue"/>
            <w:tcBorders>
              <w:top w:val="nil"/>
              <w:left w:val="single" w:color="auto" w:sz="4" w:space="0"/>
              <w:bottom w:val="single" w:color="auto" w:sz="4" w:space="0"/>
              <w:right w:val="single" w:color="auto" w:sz="4" w:space="0"/>
            </w:tcBorders>
            <w:vAlign w:val="center"/>
          </w:tcPr>
          <w:p>
            <w:pPr>
              <w:widowControl/>
              <w:jc w:val="left"/>
              <w:rPr>
                <w:rFonts w:cs="Times New Roman"/>
                <w:color w:val="000000"/>
                <w:kern w:val="0"/>
                <w:sz w:val="28"/>
                <w:szCs w:val="28"/>
              </w:rPr>
            </w:pPr>
          </w:p>
        </w:tc>
        <w:tc>
          <w:tcPr>
            <w:tcW w:w="914" w:type="pct"/>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8"/>
                <w:szCs w:val="28"/>
              </w:rPr>
            </w:pPr>
            <w:r>
              <w:rPr>
                <w:rFonts w:hint="eastAsia" w:cs="Times New Roman"/>
                <w:color w:val="000000"/>
                <w:kern w:val="0"/>
                <w:sz w:val="28"/>
                <w:szCs w:val="28"/>
              </w:rPr>
              <w:t>长生路</w:t>
            </w:r>
          </w:p>
        </w:tc>
        <w:tc>
          <w:tcPr>
            <w:tcW w:w="1907" w:type="pct"/>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8"/>
                <w:szCs w:val="28"/>
              </w:rPr>
            </w:pPr>
            <w:r>
              <w:rPr>
                <w:rFonts w:hint="eastAsia" w:cs="Times New Roman"/>
                <w:color w:val="000000"/>
                <w:kern w:val="0"/>
                <w:sz w:val="28"/>
                <w:szCs w:val="28"/>
              </w:rPr>
              <w:t>诚兴东路-惠仁路</w:t>
            </w:r>
          </w:p>
        </w:tc>
      </w:tr>
      <w:tr>
        <w:tblPrEx>
          <w:tblCellMar>
            <w:top w:w="0" w:type="dxa"/>
            <w:left w:w="108" w:type="dxa"/>
            <w:bottom w:w="0" w:type="dxa"/>
            <w:right w:w="108" w:type="dxa"/>
          </w:tblCellMar>
        </w:tblPrEx>
        <w:trPr>
          <w:trHeight w:val="522" w:hRule="atLeast"/>
        </w:trPr>
        <w:tc>
          <w:tcPr>
            <w:tcW w:w="4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 w:cs="Times New Roman"/>
                <w:color w:val="000000"/>
                <w:kern w:val="0"/>
                <w:sz w:val="28"/>
                <w:szCs w:val="28"/>
              </w:rPr>
            </w:pPr>
            <w:r>
              <w:rPr>
                <w:rFonts w:ascii="Times New Roman" w:eastAsia="仿宋" w:cs="Times New Roman"/>
                <w:color w:val="000000"/>
                <w:kern w:val="0"/>
                <w:sz w:val="28"/>
                <w:szCs w:val="28"/>
              </w:rPr>
              <w:t>4</w:t>
            </w:r>
          </w:p>
        </w:tc>
        <w:tc>
          <w:tcPr>
            <w:tcW w:w="1709" w:type="pct"/>
            <w:vMerge w:val="continue"/>
            <w:tcBorders>
              <w:top w:val="nil"/>
              <w:left w:val="single" w:color="auto" w:sz="4" w:space="0"/>
              <w:bottom w:val="single" w:color="auto" w:sz="4" w:space="0"/>
              <w:right w:val="single" w:color="auto" w:sz="4" w:space="0"/>
            </w:tcBorders>
            <w:vAlign w:val="center"/>
          </w:tcPr>
          <w:p>
            <w:pPr>
              <w:widowControl/>
              <w:jc w:val="left"/>
              <w:rPr>
                <w:rFonts w:cs="Times New Roman"/>
                <w:color w:val="000000"/>
                <w:kern w:val="0"/>
                <w:sz w:val="28"/>
                <w:szCs w:val="28"/>
              </w:rPr>
            </w:pPr>
          </w:p>
        </w:tc>
        <w:tc>
          <w:tcPr>
            <w:tcW w:w="914" w:type="pct"/>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8"/>
                <w:szCs w:val="28"/>
              </w:rPr>
            </w:pPr>
            <w:r>
              <w:rPr>
                <w:rFonts w:hint="eastAsia" w:cs="Times New Roman"/>
                <w:color w:val="000000"/>
                <w:kern w:val="0"/>
                <w:sz w:val="28"/>
                <w:szCs w:val="28"/>
              </w:rPr>
              <w:t>惠仁路</w:t>
            </w:r>
          </w:p>
        </w:tc>
        <w:tc>
          <w:tcPr>
            <w:tcW w:w="1907" w:type="pct"/>
            <w:tcBorders>
              <w:top w:val="nil"/>
              <w:left w:val="nil"/>
              <w:bottom w:val="single" w:color="auto" w:sz="4" w:space="0"/>
              <w:right w:val="single" w:color="auto" w:sz="4" w:space="0"/>
            </w:tcBorders>
            <w:shd w:val="clear" w:color="auto" w:fill="auto"/>
            <w:noWrap/>
            <w:vAlign w:val="center"/>
          </w:tcPr>
          <w:p>
            <w:pPr>
              <w:widowControl/>
              <w:jc w:val="center"/>
              <w:rPr>
                <w:rFonts w:cs="Times New Roman"/>
                <w:color w:val="000000"/>
                <w:kern w:val="0"/>
                <w:sz w:val="28"/>
                <w:szCs w:val="28"/>
              </w:rPr>
            </w:pPr>
            <w:r>
              <w:rPr>
                <w:rFonts w:hint="eastAsia" w:cs="Times New Roman"/>
                <w:color w:val="000000"/>
                <w:kern w:val="0"/>
                <w:sz w:val="28"/>
                <w:szCs w:val="28"/>
              </w:rPr>
              <w:t>长虹路-长川路</w:t>
            </w:r>
          </w:p>
        </w:tc>
      </w:tr>
    </w:tbl>
    <w:p>
      <w:pPr>
        <w:widowControl/>
        <w:spacing w:line="560" w:lineRule="exact"/>
        <w:rPr>
          <w:rFonts w:ascii="Times New Roman" w:cs="Times New Roman"/>
          <w:spacing w:val="2"/>
          <w:kern w:val="0"/>
        </w:rPr>
      </w:pPr>
    </w:p>
    <w:p>
      <w:pPr>
        <w:widowControl/>
        <w:spacing w:line="560" w:lineRule="exact"/>
        <w:rPr>
          <w:rFonts w:ascii="Times New Roman" w:cs="Times New Roman"/>
          <w:spacing w:val="2"/>
          <w:kern w:val="0"/>
        </w:rPr>
      </w:pPr>
      <w:r>
        <w:rPr>
          <w:rFonts w:ascii="Times New Roman" w:cs="Times New Roman"/>
          <w:spacing w:val="2"/>
          <w:kern w:val="0"/>
        </w:rPr>
        <w:br w:type="page"/>
      </w:r>
    </w:p>
    <w:p>
      <w:pPr>
        <w:widowControl/>
        <w:spacing w:line="600" w:lineRule="exact"/>
        <w:jc w:val="left"/>
        <w:rPr>
          <w:rFonts w:ascii="黑体" w:hAnsi="黑体" w:eastAsia="黑体" w:cs="Times New Roman"/>
          <w:spacing w:val="2"/>
          <w:kern w:val="0"/>
        </w:rPr>
      </w:pPr>
      <w:r>
        <w:rPr>
          <w:rFonts w:hint="eastAsia" w:ascii="黑体" w:hAnsi="黑体" w:eastAsia="黑体" w:cs="Times New Roman"/>
          <w:spacing w:val="2"/>
          <w:kern w:val="0"/>
        </w:rPr>
        <w:t>附件2</w:t>
      </w:r>
    </w:p>
    <w:p>
      <w:pPr>
        <w:widowControl/>
        <w:spacing w:line="60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开发区2021年停车秩序专项整治</w:t>
      </w:r>
    </w:p>
    <w:p>
      <w:pPr>
        <w:widowControl/>
        <w:spacing w:line="60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重点区域一览表</w:t>
      </w:r>
    </w:p>
    <w:tbl>
      <w:tblPr>
        <w:tblStyle w:val="9"/>
        <w:tblW w:w="5223" w:type="pct"/>
        <w:tblInd w:w="0" w:type="dxa"/>
        <w:tblLayout w:type="fixed"/>
        <w:tblCellMar>
          <w:top w:w="0" w:type="dxa"/>
          <w:left w:w="108" w:type="dxa"/>
          <w:bottom w:w="0" w:type="dxa"/>
          <w:right w:w="108" w:type="dxa"/>
        </w:tblCellMar>
      </w:tblPr>
      <w:tblGrid>
        <w:gridCol w:w="642"/>
        <w:gridCol w:w="602"/>
        <w:gridCol w:w="1416"/>
        <w:gridCol w:w="2129"/>
        <w:gridCol w:w="3208"/>
        <w:gridCol w:w="1467"/>
      </w:tblGrid>
      <w:tr>
        <w:tblPrEx>
          <w:tblCellMar>
            <w:top w:w="0" w:type="dxa"/>
            <w:left w:w="108" w:type="dxa"/>
            <w:bottom w:w="0" w:type="dxa"/>
            <w:right w:w="108" w:type="dxa"/>
          </w:tblCellMar>
        </w:tblPrEx>
        <w:trPr>
          <w:trHeight w:val="522" w:hRule="atLeast"/>
        </w:trPr>
        <w:tc>
          <w:tcPr>
            <w:tcW w:w="5000" w:type="pct"/>
            <w:gridSpan w:val="6"/>
            <w:tcBorders>
              <w:top w:val="nil"/>
              <w:left w:val="nil"/>
              <w:bottom w:val="nil"/>
              <w:right w:val="nil"/>
            </w:tcBorders>
            <w:shd w:val="clear" w:color="auto" w:fill="auto"/>
            <w:vAlign w:val="center"/>
          </w:tcPr>
          <w:p>
            <w:pPr>
              <w:widowControl/>
              <w:spacing w:line="400" w:lineRule="exact"/>
              <w:jc w:val="center"/>
              <w:rPr>
                <w:rFonts w:ascii="Times New Roman" w:eastAsia="仿宋" w:cs="Times New Roman"/>
                <w:b/>
                <w:bCs/>
                <w:color w:val="000000"/>
                <w:kern w:val="0"/>
                <w:sz w:val="36"/>
                <w:szCs w:val="36"/>
              </w:rPr>
            </w:pPr>
          </w:p>
        </w:tc>
      </w:tr>
      <w:tr>
        <w:tblPrEx>
          <w:tblCellMar>
            <w:top w:w="0" w:type="dxa"/>
            <w:left w:w="108" w:type="dxa"/>
            <w:bottom w:w="0" w:type="dxa"/>
            <w:right w:w="108" w:type="dxa"/>
          </w:tblCellMar>
        </w:tblPrEx>
        <w:trPr>
          <w:trHeight w:val="522" w:hRule="atLeast"/>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eastAsia="黑体" w:cs="Times New Roman"/>
                <w:bCs/>
                <w:color w:val="000000"/>
                <w:kern w:val="0"/>
                <w:sz w:val="28"/>
                <w:szCs w:val="28"/>
              </w:rPr>
            </w:pPr>
            <w:r>
              <w:rPr>
                <w:rFonts w:ascii="Times New Roman" w:eastAsia="黑体" w:cs="Times New Roman"/>
                <w:bCs/>
                <w:color w:val="000000"/>
                <w:kern w:val="0"/>
                <w:sz w:val="28"/>
                <w:szCs w:val="28"/>
              </w:rPr>
              <w:t>序号</w:t>
            </w:r>
          </w:p>
        </w:tc>
        <w:tc>
          <w:tcPr>
            <w:tcW w:w="1066"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400" w:lineRule="exact"/>
              <w:jc w:val="center"/>
              <w:rPr>
                <w:rFonts w:ascii="Times New Roman" w:eastAsia="黑体" w:cs="Times New Roman"/>
                <w:bCs/>
                <w:color w:val="000000"/>
                <w:kern w:val="0"/>
                <w:sz w:val="28"/>
                <w:szCs w:val="28"/>
              </w:rPr>
            </w:pPr>
            <w:r>
              <w:rPr>
                <w:rFonts w:ascii="Times New Roman" w:eastAsia="黑体" w:cs="Times New Roman"/>
                <w:bCs/>
                <w:color w:val="000000"/>
                <w:kern w:val="0"/>
                <w:sz w:val="28"/>
                <w:szCs w:val="28"/>
              </w:rPr>
              <w:t>责任单位</w:t>
            </w:r>
          </w:p>
        </w:tc>
        <w:tc>
          <w:tcPr>
            <w:tcW w:w="1125" w:type="pct"/>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eastAsia="黑体" w:cs="Times New Roman"/>
                <w:bCs/>
                <w:color w:val="000000"/>
                <w:kern w:val="0"/>
                <w:sz w:val="28"/>
                <w:szCs w:val="28"/>
              </w:rPr>
            </w:pPr>
            <w:r>
              <w:rPr>
                <w:rFonts w:ascii="Times New Roman" w:eastAsia="黑体" w:cs="Times New Roman"/>
                <w:bCs/>
                <w:color w:val="000000"/>
                <w:kern w:val="0"/>
                <w:sz w:val="28"/>
                <w:szCs w:val="28"/>
              </w:rPr>
              <w:t>道路名称</w:t>
            </w:r>
          </w:p>
        </w:tc>
        <w:tc>
          <w:tcPr>
            <w:tcW w:w="1695" w:type="pct"/>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eastAsia="黑体" w:cs="Times New Roman"/>
                <w:bCs/>
                <w:color w:val="000000"/>
                <w:kern w:val="0"/>
                <w:sz w:val="28"/>
                <w:szCs w:val="28"/>
              </w:rPr>
            </w:pPr>
            <w:r>
              <w:rPr>
                <w:rFonts w:ascii="Times New Roman" w:eastAsia="黑体" w:cs="Times New Roman"/>
                <w:bCs/>
                <w:color w:val="000000"/>
                <w:kern w:val="0"/>
                <w:sz w:val="28"/>
                <w:szCs w:val="28"/>
              </w:rPr>
              <w:t>起始点</w:t>
            </w:r>
          </w:p>
        </w:tc>
        <w:tc>
          <w:tcPr>
            <w:tcW w:w="775" w:type="pct"/>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eastAsia="黑体" w:cs="Times New Roman"/>
                <w:bCs/>
                <w:color w:val="000000"/>
                <w:kern w:val="0"/>
                <w:sz w:val="28"/>
                <w:szCs w:val="28"/>
              </w:rPr>
            </w:pPr>
            <w:r>
              <w:rPr>
                <w:rFonts w:ascii="Times New Roman" w:eastAsia="黑体" w:cs="Times New Roman"/>
                <w:bCs/>
                <w:color w:val="000000"/>
                <w:kern w:val="0"/>
                <w:sz w:val="28"/>
                <w:szCs w:val="28"/>
              </w:rPr>
              <w:t>备注</w:t>
            </w:r>
          </w:p>
        </w:tc>
      </w:tr>
      <w:tr>
        <w:tblPrEx>
          <w:tblCellMar>
            <w:top w:w="0" w:type="dxa"/>
            <w:left w:w="108" w:type="dxa"/>
            <w:bottom w:w="0" w:type="dxa"/>
            <w:right w:w="108" w:type="dxa"/>
          </w:tblCellMar>
        </w:tblPrEx>
        <w:trPr>
          <w:trHeight w:val="522"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1</w:t>
            </w:r>
          </w:p>
        </w:tc>
        <w:tc>
          <w:tcPr>
            <w:tcW w:w="318"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新开街道</w:t>
            </w:r>
          </w:p>
        </w:tc>
        <w:tc>
          <w:tcPr>
            <w:tcW w:w="748"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星湖置业</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永旺梦乐城停车场</w:t>
            </w:r>
          </w:p>
        </w:tc>
        <w:tc>
          <w:tcPr>
            <w:tcW w:w="169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永旺路-通盛大道-星湖大道-星旺街</w:t>
            </w:r>
          </w:p>
        </w:tc>
        <w:tc>
          <w:tcPr>
            <w:tcW w:w="77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商业中心</w:t>
            </w:r>
          </w:p>
        </w:tc>
      </w:tr>
      <w:tr>
        <w:tblPrEx>
          <w:tblCellMar>
            <w:top w:w="0" w:type="dxa"/>
            <w:left w:w="108" w:type="dxa"/>
            <w:bottom w:w="0" w:type="dxa"/>
            <w:right w:w="108" w:type="dxa"/>
          </w:tblCellMar>
        </w:tblPrEx>
        <w:trPr>
          <w:trHeight w:val="522"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2</w:t>
            </w:r>
          </w:p>
        </w:tc>
        <w:tc>
          <w:tcPr>
            <w:tcW w:w="318" w:type="pct"/>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Times New Roman" w:cs="Times New Roman"/>
                <w:color w:val="000000"/>
                <w:kern w:val="0"/>
                <w:sz w:val="28"/>
                <w:szCs w:val="28"/>
              </w:rPr>
            </w:pPr>
          </w:p>
        </w:tc>
        <w:tc>
          <w:tcPr>
            <w:tcW w:w="748"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利群时代</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利群时代超市停车场</w:t>
            </w:r>
          </w:p>
        </w:tc>
        <w:tc>
          <w:tcPr>
            <w:tcW w:w="169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上海路-新开路-星湖街</w:t>
            </w:r>
          </w:p>
        </w:tc>
        <w:tc>
          <w:tcPr>
            <w:tcW w:w="77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商业中心</w:t>
            </w:r>
          </w:p>
        </w:tc>
      </w:tr>
      <w:tr>
        <w:tblPrEx>
          <w:tblCellMar>
            <w:top w:w="0" w:type="dxa"/>
            <w:left w:w="108" w:type="dxa"/>
            <w:bottom w:w="0" w:type="dxa"/>
            <w:right w:w="108" w:type="dxa"/>
          </w:tblCellMar>
        </w:tblPrEx>
        <w:trPr>
          <w:trHeight w:val="522"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3</w:t>
            </w:r>
          </w:p>
        </w:tc>
        <w:tc>
          <w:tcPr>
            <w:tcW w:w="318" w:type="pct"/>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Times New Roman" w:cs="Times New Roman"/>
                <w:color w:val="000000"/>
                <w:kern w:val="0"/>
                <w:sz w:val="28"/>
                <w:szCs w:val="28"/>
              </w:rPr>
            </w:pPr>
          </w:p>
        </w:tc>
        <w:tc>
          <w:tcPr>
            <w:tcW w:w="748"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星湖置业</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星湖101广场停车场</w:t>
            </w:r>
          </w:p>
        </w:tc>
        <w:tc>
          <w:tcPr>
            <w:tcW w:w="169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星湖大道-新开南路-星湖街-新河路</w:t>
            </w:r>
          </w:p>
        </w:tc>
        <w:tc>
          <w:tcPr>
            <w:tcW w:w="77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商业中心</w:t>
            </w:r>
          </w:p>
        </w:tc>
      </w:tr>
      <w:tr>
        <w:tblPrEx>
          <w:tblCellMar>
            <w:top w:w="0" w:type="dxa"/>
            <w:left w:w="108" w:type="dxa"/>
            <w:bottom w:w="0" w:type="dxa"/>
            <w:right w:w="108" w:type="dxa"/>
          </w:tblCellMar>
        </w:tblPrEx>
        <w:trPr>
          <w:trHeight w:val="522"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4</w:t>
            </w:r>
          </w:p>
        </w:tc>
        <w:tc>
          <w:tcPr>
            <w:tcW w:w="318" w:type="pct"/>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Times New Roman" w:cs="Times New Roman"/>
                <w:color w:val="000000"/>
                <w:kern w:val="0"/>
                <w:sz w:val="28"/>
                <w:szCs w:val="28"/>
              </w:rPr>
            </w:pPr>
          </w:p>
        </w:tc>
        <w:tc>
          <w:tcPr>
            <w:tcW w:w="748"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炜赋物业</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能达大厦停车场</w:t>
            </w:r>
          </w:p>
        </w:tc>
        <w:tc>
          <w:tcPr>
            <w:tcW w:w="169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宏兴路-长圆路-长通路-复兴路</w:t>
            </w:r>
          </w:p>
        </w:tc>
        <w:tc>
          <w:tcPr>
            <w:tcW w:w="77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政务中心</w:t>
            </w:r>
          </w:p>
        </w:tc>
      </w:tr>
      <w:tr>
        <w:tblPrEx>
          <w:tblCellMar>
            <w:top w:w="0" w:type="dxa"/>
            <w:left w:w="108" w:type="dxa"/>
            <w:bottom w:w="0" w:type="dxa"/>
            <w:right w:w="108" w:type="dxa"/>
          </w:tblCellMar>
        </w:tblPrEx>
        <w:trPr>
          <w:trHeight w:val="522"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5</w:t>
            </w:r>
          </w:p>
        </w:tc>
        <w:tc>
          <w:tcPr>
            <w:tcW w:w="318" w:type="pct"/>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Times New Roman" w:cs="Times New Roman"/>
                <w:color w:val="000000"/>
                <w:kern w:val="0"/>
                <w:sz w:val="28"/>
                <w:szCs w:val="28"/>
              </w:rPr>
            </w:pPr>
          </w:p>
        </w:tc>
        <w:tc>
          <w:tcPr>
            <w:tcW w:w="748"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spacing w:val="-20"/>
                <w:kern w:val="0"/>
                <w:sz w:val="28"/>
                <w:szCs w:val="28"/>
              </w:rPr>
            </w:pPr>
            <w:r>
              <w:rPr>
                <w:rFonts w:ascii="Times New Roman" w:cs="Times New Roman"/>
                <w:color w:val="000000"/>
                <w:spacing w:val="-20"/>
                <w:kern w:val="0"/>
                <w:sz w:val="28"/>
                <w:szCs w:val="28"/>
              </w:rPr>
              <w:t>社会事业局</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公共文体中心停车场</w:t>
            </w:r>
          </w:p>
        </w:tc>
        <w:tc>
          <w:tcPr>
            <w:tcW w:w="169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诚兴路-长圆路-长通路-复兴路</w:t>
            </w:r>
          </w:p>
        </w:tc>
        <w:tc>
          <w:tcPr>
            <w:tcW w:w="77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cs="Times New Roman"/>
                <w:color w:val="000000"/>
                <w:kern w:val="0"/>
                <w:sz w:val="28"/>
                <w:szCs w:val="28"/>
              </w:rPr>
            </w:pPr>
            <w:r>
              <w:rPr>
                <w:rFonts w:ascii="Times New Roman" w:cs="Times New Roman"/>
                <w:color w:val="000000"/>
                <w:kern w:val="0"/>
                <w:sz w:val="28"/>
                <w:szCs w:val="28"/>
              </w:rPr>
              <w:t>文体中心</w:t>
            </w:r>
          </w:p>
        </w:tc>
      </w:tr>
    </w:tbl>
    <w:p>
      <w:pPr>
        <w:widowControl/>
        <w:spacing w:line="560" w:lineRule="exact"/>
        <w:rPr>
          <w:rFonts w:ascii="Times New Roman" w:cs="Times New Roman"/>
          <w:spacing w:val="2"/>
          <w:kern w:val="0"/>
        </w:rPr>
      </w:pPr>
    </w:p>
    <w:p>
      <w:pPr>
        <w:widowControl/>
        <w:spacing w:line="560" w:lineRule="exact"/>
        <w:jc w:val="left"/>
        <w:rPr>
          <w:rFonts w:ascii="Times New Roman" w:cs="Times New Roman"/>
          <w:spacing w:val="2"/>
          <w:kern w:val="0"/>
        </w:rPr>
      </w:pPr>
      <w:bookmarkStart w:id="0" w:name="_GoBack"/>
      <w:bookmarkEnd w:id="0"/>
    </w:p>
    <w:sectPr>
      <w:footerReference r:id="rId3" w:type="default"/>
      <w:footerReference r:id="rId4" w:type="even"/>
      <w:pgSz w:w="11906" w:h="16838"/>
      <w:pgMar w:top="2098" w:right="1474" w:bottom="1985" w:left="1588" w:header="851" w:footer="1588"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2118637487"/>
      <w:docPartObj>
        <w:docPartGallery w:val="autotext"/>
      </w:docPartObj>
    </w:sdtPr>
    <w:sdtEndPr>
      <w:rPr>
        <w:rFonts w:ascii="宋体" w:hAnsi="宋体" w:eastAsia="宋体"/>
        <w:sz w:val="28"/>
        <w:szCs w:val="28"/>
      </w:rPr>
    </w:sdtEndPr>
    <w:sdtContent>
      <w:p>
        <w:pPr>
          <w:pStyle w:val="6"/>
          <w:ind w:right="3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1B"/>
    <w:rsid w:val="000105DA"/>
    <w:rsid w:val="000135BB"/>
    <w:rsid w:val="00020AC1"/>
    <w:rsid w:val="00023238"/>
    <w:rsid w:val="00025761"/>
    <w:rsid w:val="00036C30"/>
    <w:rsid w:val="00037017"/>
    <w:rsid w:val="000440E8"/>
    <w:rsid w:val="00046C14"/>
    <w:rsid w:val="000500BB"/>
    <w:rsid w:val="00051335"/>
    <w:rsid w:val="00061E48"/>
    <w:rsid w:val="000726D6"/>
    <w:rsid w:val="00075DF1"/>
    <w:rsid w:val="000900DE"/>
    <w:rsid w:val="0009373C"/>
    <w:rsid w:val="00094376"/>
    <w:rsid w:val="00097983"/>
    <w:rsid w:val="00097CC6"/>
    <w:rsid w:val="000A2117"/>
    <w:rsid w:val="000B03F3"/>
    <w:rsid w:val="000B77D0"/>
    <w:rsid w:val="000C49DE"/>
    <w:rsid w:val="000C726E"/>
    <w:rsid w:val="000D050D"/>
    <w:rsid w:val="000E4895"/>
    <w:rsid w:val="000E739D"/>
    <w:rsid w:val="001014C6"/>
    <w:rsid w:val="0010229E"/>
    <w:rsid w:val="00104F3F"/>
    <w:rsid w:val="0010531F"/>
    <w:rsid w:val="00110893"/>
    <w:rsid w:val="00115FA2"/>
    <w:rsid w:val="00121C05"/>
    <w:rsid w:val="0012639C"/>
    <w:rsid w:val="001362F7"/>
    <w:rsid w:val="00142151"/>
    <w:rsid w:val="00143042"/>
    <w:rsid w:val="00143E09"/>
    <w:rsid w:val="00144D87"/>
    <w:rsid w:val="0015707B"/>
    <w:rsid w:val="00160E00"/>
    <w:rsid w:val="0016109E"/>
    <w:rsid w:val="001668FD"/>
    <w:rsid w:val="00172F96"/>
    <w:rsid w:val="001732BE"/>
    <w:rsid w:val="00181171"/>
    <w:rsid w:val="00183593"/>
    <w:rsid w:val="00191690"/>
    <w:rsid w:val="001926CE"/>
    <w:rsid w:val="00194D72"/>
    <w:rsid w:val="00195F26"/>
    <w:rsid w:val="001A1E06"/>
    <w:rsid w:val="001A3E37"/>
    <w:rsid w:val="001A5E09"/>
    <w:rsid w:val="001A65DA"/>
    <w:rsid w:val="001A69DA"/>
    <w:rsid w:val="001B01D1"/>
    <w:rsid w:val="001B5B81"/>
    <w:rsid w:val="001B783E"/>
    <w:rsid w:val="001C014C"/>
    <w:rsid w:val="001D053D"/>
    <w:rsid w:val="001D7B89"/>
    <w:rsid w:val="001E15AD"/>
    <w:rsid w:val="001E421C"/>
    <w:rsid w:val="001E7B4C"/>
    <w:rsid w:val="001F6FC9"/>
    <w:rsid w:val="00226D9D"/>
    <w:rsid w:val="00230052"/>
    <w:rsid w:val="00244BBC"/>
    <w:rsid w:val="00251396"/>
    <w:rsid w:val="00263CF5"/>
    <w:rsid w:val="00267D5B"/>
    <w:rsid w:val="00282534"/>
    <w:rsid w:val="0028291F"/>
    <w:rsid w:val="002856EC"/>
    <w:rsid w:val="0029481B"/>
    <w:rsid w:val="002A675F"/>
    <w:rsid w:val="002A72E4"/>
    <w:rsid w:val="002A7EB0"/>
    <w:rsid w:val="002B0D65"/>
    <w:rsid w:val="002C0A4B"/>
    <w:rsid w:val="002C526E"/>
    <w:rsid w:val="002D3D8E"/>
    <w:rsid w:val="002D540D"/>
    <w:rsid w:val="002E3C76"/>
    <w:rsid w:val="002F0ACD"/>
    <w:rsid w:val="002F21F9"/>
    <w:rsid w:val="002F5F9F"/>
    <w:rsid w:val="003029DA"/>
    <w:rsid w:val="00311B03"/>
    <w:rsid w:val="00314739"/>
    <w:rsid w:val="00315943"/>
    <w:rsid w:val="00317ABE"/>
    <w:rsid w:val="00330AA5"/>
    <w:rsid w:val="00336828"/>
    <w:rsid w:val="00337141"/>
    <w:rsid w:val="00351925"/>
    <w:rsid w:val="0035278D"/>
    <w:rsid w:val="00360922"/>
    <w:rsid w:val="00365A07"/>
    <w:rsid w:val="00365AD4"/>
    <w:rsid w:val="00377170"/>
    <w:rsid w:val="00386040"/>
    <w:rsid w:val="003959F3"/>
    <w:rsid w:val="003A4BA3"/>
    <w:rsid w:val="003D0F02"/>
    <w:rsid w:val="003D2ABA"/>
    <w:rsid w:val="003D37A8"/>
    <w:rsid w:val="003E1E41"/>
    <w:rsid w:val="003F4CEC"/>
    <w:rsid w:val="003F68BE"/>
    <w:rsid w:val="003F7861"/>
    <w:rsid w:val="00404598"/>
    <w:rsid w:val="004205C9"/>
    <w:rsid w:val="00426C3A"/>
    <w:rsid w:val="00434CD1"/>
    <w:rsid w:val="00441090"/>
    <w:rsid w:val="004410FC"/>
    <w:rsid w:val="00441E0C"/>
    <w:rsid w:val="00450296"/>
    <w:rsid w:val="0045301A"/>
    <w:rsid w:val="004538A5"/>
    <w:rsid w:val="004550C1"/>
    <w:rsid w:val="00456B14"/>
    <w:rsid w:val="00460C27"/>
    <w:rsid w:val="00462F12"/>
    <w:rsid w:val="0046708A"/>
    <w:rsid w:val="00471227"/>
    <w:rsid w:val="00475C8B"/>
    <w:rsid w:val="004761FB"/>
    <w:rsid w:val="00482B0F"/>
    <w:rsid w:val="00483457"/>
    <w:rsid w:val="00491046"/>
    <w:rsid w:val="004A3E67"/>
    <w:rsid w:val="004A5CBB"/>
    <w:rsid w:val="004B1DA0"/>
    <w:rsid w:val="004B6937"/>
    <w:rsid w:val="004D2276"/>
    <w:rsid w:val="004D45C1"/>
    <w:rsid w:val="004D5B3C"/>
    <w:rsid w:val="004E3CCC"/>
    <w:rsid w:val="004E675B"/>
    <w:rsid w:val="004F0645"/>
    <w:rsid w:val="00502D23"/>
    <w:rsid w:val="005045DE"/>
    <w:rsid w:val="0051348D"/>
    <w:rsid w:val="005157E1"/>
    <w:rsid w:val="00521B99"/>
    <w:rsid w:val="00524AE5"/>
    <w:rsid w:val="00527A4F"/>
    <w:rsid w:val="00535B90"/>
    <w:rsid w:val="005369E0"/>
    <w:rsid w:val="00540D4B"/>
    <w:rsid w:val="005412F2"/>
    <w:rsid w:val="00570A42"/>
    <w:rsid w:val="005725C5"/>
    <w:rsid w:val="00580B09"/>
    <w:rsid w:val="0058114B"/>
    <w:rsid w:val="0058717D"/>
    <w:rsid w:val="00591FC3"/>
    <w:rsid w:val="00595E1C"/>
    <w:rsid w:val="0059650F"/>
    <w:rsid w:val="0059659A"/>
    <w:rsid w:val="005A1C64"/>
    <w:rsid w:val="005A34F2"/>
    <w:rsid w:val="005A58B8"/>
    <w:rsid w:val="005A69F5"/>
    <w:rsid w:val="005A7429"/>
    <w:rsid w:val="005A7B97"/>
    <w:rsid w:val="005B326E"/>
    <w:rsid w:val="005B7B0C"/>
    <w:rsid w:val="005C445D"/>
    <w:rsid w:val="005C7644"/>
    <w:rsid w:val="005C7766"/>
    <w:rsid w:val="005C7B80"/>
    <w:rsid w:val="005D6660"/>
    <w:rsid w:val="005D6739"/>
    <w:rsid w:val="005F2D5B"/>
    <w:rsid w:val="005F3A2E"/>
    <w:rsid w:val="006028BF"/>
    <w:rsid w:val="00615993"/>
    <w:rsid w:val="006223D2"/>
    <w:rsid w:val="006237EF"/>
    <w:rsid w:val="00623E9C"/>
    <w:rsid w:val="0062514D"/>
    <w:rsid w:val="006366E0"/>
    <w:rsid w:val="006374DA"/>
    <w:rsid w:val="006438B3"/>
    <w:rsid w:val="0064768A"/>
    <w:rsid w:val="006662B4"/>
    <w:rsid w:val="00675EE3"/>
    <w:rsid w:val="006809ED"/>
    <w:rsid w:val="00681F3E"/>
    <w:rsid w:val="00683831"/>
    <w:rsid w:val="006842C1"/>
    <w:rsid w:val="00691524"/>
    <w:rsid w:val="006A3D61"/>
    <w:rsid w:val="006A5B06"/>
    <w:rsid w:val="006B20FD"/>
    <w:rsid w:val="006C5287"/>
    <w:rsid w:val="006C6CBB"/>
    <w:rsid w:val="006D0E15"/>
    <w:rsid w:val="006D46E4"/>
    <w:rsid w:val="006D60FB"/>
    <w:rsid w:val="006F1807"/>
    <w:rsid w:val="00704733"/>
    <w:rsid w:val="00711255"/>
    <w:rsid w:val="00711731"/>
    <w:rsid w:val="00712120"/>
    <w:rsid w:val="00712400"/>
    <w:rsid w:val="00713491"/>
    <w:rsid w:val="00714832"/>
    <w:rsid w:val="0071594A"/>
    <w:rsid w:val="007202FF"/>
    <w:rsid w:val="00723BFB"/>
    <w:rsid w:val="0072403E"/>
    <w:rsid w:val="00735577"/>
    <w:rsid w:val="00743AEF"/>
    <w:rsid w:val="00744B7B"/>
    <w:rsid w:val="007464AF"/>
    <w:rsid w:val="0076280F"/>
    <w:rsid w:val="00763377"/>
    <w:rsid w:val="0076604E"/>
    <w:rsid w:val="0077075B"/>
    <w:rsid w:val="00770776"/>
    <w:rsid w:val="00773076"/>
    <w:rsid w:val="007730FE"/>
    <w:rsid w:val="00774B31"/>
    <w:rsid w:val="0077549B"/>
    <w:rsid w:val="00780BF8"/>
    <w:rsid w:val="00785E10"/>
    <w:rsid w:val="00795973"/>
    <w:rsid w:val="007962EF"/>
    <w:rsid w:val="0079642F"/>
    <w:rsid w:val="007A19E3"/>
    <w:rsid w:val="007A4AA5"/>
    <w:rsid w:val="007A7467"/>
    <w:rsid w:val="007B2E23"/>
    <w:rsid w:val="007B5B4E"/>
    <w:rsid w:val="007B6E12"/>
    <w:rsid w:val="007C1177"/>
    <w:rsid w:val="007C4F61"/>
    <w:rsid w:val="007D6E64"/>
    <w:rsid w:val="007E4DBE"/>
    <w:rsid w:val="007F0B45"/>
    <w:rsid w:val="007F20F0"/>
    <w:rsid w:val="00803C01"/>
    <w:rsid w:val="00804AC4"/>
    <w:rsid w:val="008052C9"/>
    <w:rsid w:val="008227EA"/>
    <w:rsid w:val="008244B1"/>
    <w:rsid w:val="008253CA"/>
    <w:rsid w:val="0083111C"/>
    <w:rsid w:val="00847BD0"/>
    <w:rsid w:val="00856716"/>
    <w:rsid w:val="008637FF"/>
    <w:rsid w:val="0086602E"/>
    <w:rsid w:val="00870EA5"/>
    <w:rsid w:val="008877BE"/>
    <w:rsid w:val="00894DF4"/>
    <w:rsid w:val="008A119E"/>
    <w:rsid w:val="008A18D6"/>
    <w:rsid w:val="008A3490"/>
    <w:rsid w:val="008A5FA0"/>
    <w:rsid w:val="008B2089"/>
    <w:rsid w:val="008B5FA3"/>
    <w:rsid w:val="008C039E"/>
    <w:rsid w:val="008C3909"/>
    <w:rsid w:val="008C4D44"/>
    <w:rsid w:val="008D0B4D"/>
    <w:rsid w:val="008E355D"/>
    <w:rsid w:val="008E3BB1"/>
    <w:rsid w:val="008F01A7"/>
    <w:rsid w:val="008F4962"/>
    <w:rsid w:val="008F67A3"/>
    <w:rsid w:val="00900FF2"/>
    <w:rsid w:val="00910B41"/>
    <w:rsid w:val="00910ED2"/>
    <w:rsid w:val="0092070E"/>
    <w:rsid w:val="009464AD"/>
    <w:rsid w:val="0095627F"/>
    <w:rsid w:val="00956C28"/>
    <w:rsid w:val="00960DC8"/>
    <w:rsid w:val="00962620"/>
    <w:rsid w:val="0096343C"/>
    <w:rsid w:val="00965EC8"/>
    <w:rsid w:val="009702BD"/>
    <w:rsid w:val="00977A38"/>
    <w:rsid w:val="0098378E"/>
    <w:rsid w:val="0098418B"/>
    <w:rsid w:val="00985F7B"/>
    <w:rsid w:val="00993A54"/>
    <w:rsid w:val="00993FA3"/>
    <w:rsid w:val="009A3A2C"/>
    <w:rsid w:val="009B3C8F"/>
    <w:rsid w:val="009C0B88"/>
    <w:rsid w:val="009C7DC0"/>
    <w:rsid w:val="009D6AD9"/>
    <w:rsid w:val="009D6AFF"/>
    <w:rsid w:val="009E319B"/>
    <w:rsid w:val="009E54D2"/>
    <w:rsid w:val="00A0152E"/>
    <w:rsid w:val="00A02FBC"/>
    <w:rsid w:val="00A03A86"/>
    <w:rsid w:val="00A04692"/>
    <w:rsid w:val="00A04B9D"/>
    <w:rsid w:val="00A10C65"/>
    <w:rsid w:val="00A1190A"/>
    <w:rsid w:val="00A20F35"/>
    <w:rsid w:val="00A27B8E"/>
    <w:rsid w:val="00A3542A"/>
    <w:rsid w:val="00A411AE"/>
    <w:rsid w:val="00A43106"/>
    <w:rsid w:val="00A45DA7"/>
    <w:rsid w:val="00A57FCA"/>
    <w:rsid w:val="00A64F2F"/>
    <w:rsid w:val="00A704B1"/>
    <w:rsid w:val="00A7145A"/>
    <w:rsid w:val="00A74125"/>
    <w:rsid w:val="00A81787"/>
    <w:rsid w:val="00A90587"/>
    <w:rsid w:val="00A91A53"/>
    <w:rsid w:val="00A92094"/>
    <w:rsid w:val="00A921C8"/>
    <w:rsid w:val="00A95CA3"/>
    <w:rsid w:val="00A973AF"/>
    <w:rsid w:val="00AB763A"/>
    <w:rsid w:val="00AC5FFA"/>
    <w:rsid w:val="00AD4139"/>
    <w:rsid w:val="00AD647D"/>
    <w:rsid w:val="00AD6666"/>
    <w:rsid w:val="00AD74AE"/>
    <w:rsid w:val="00AE0EEC"/>
    <w:rsid w:val="00AF4206"/>
    <w:rsid w:val="00B20BF8"/>
    <w:rsid w:val="00B2141D"/>
    <w:rsid w:val="00B33B1B"/>
    <w:rsid w:val="00B35186"/>
    <w:rsid w:val="00B46146"/>
    <w:rsid w:val="00B46A92"/>
    <w:rsid w:val="00B471EC"/>
    <w:rsid w:val="00B5164E"/>
    <w:rsid w:val="00B55942"/>
    <w:rsid w:val="00B60244"/>
    <w:rsid w:val="00B621A5"/>
    <w:rsid w:val="00B6552D"/>
    <w:rsid w:val="00B72307"/>
    <w:rsid w:val="00B756FE"/>
    <w:rsid w:val="00B760AE"/>
    <w:rsid w:val="00B8085B"/>
    <w:rsid w:val="00B911B5"/>
    <w:rsid w:val="00B93D2F"/>
    <w:rsid w:val="00BB2796"/>
    <w:rsid w:val="00BC7656"/>
    <w:rsid w:val="00BD0984"/>
    <w:rsid w:val="00BF18B1"/>
    <w:rsid w:val="00C04CA4"/>
    <w:rsid w:val="00C052E1"/>
    <w:rsid w:val="00C26E64"/>
    <w:rsid w:val="00C33732"/>
    <w:rsid w:val="00C352AF"/>
    <w:rsid w:val="00C35D47"/>
    <w:rsid w:val="00C36C1E"/>
    <w:rsid w:val="00C3709B"/>
    <w:rsid w:val="00C406A4"/>
    <w:rsid w:val="00C41757"/>
    <w:rsid w:val="00C50235"/>
    <w:rsid w:val="00C5245D"/>
    <w:rsid w:val="00C543B3"/>
    <w:rsid w:val="00C5531C"/>
    <w:rsid w:val="00C76F72"/>
    <w:rsid w:val="00C85D7C"/>
    <w:rsid w:val="00C925ED"/>
    <w:rsid w:val="00C955CC"/>
    <w:rsid w:val="00C95F77"/>
    <w:rsid w:val="00CA0FA5"/>
    <w:rsid w:val="00CA6DCE"/>
    <w:rsid w:val="00CB08D2"/>
    <w:rsid w:val="00CB4B6A"/>
    <w:rsid w:val="00CB602D"/>
    <w:rsid w:val="00CC1A1A"/>
    <w:rsid w:val="00CD6372"/>
    <w:rsid w:val="00CD7FF8"/>
    <w:rsid w:val="00CE1E98"/>
    <w:rsid w:val="00CF5782"/>
    <w:rsid w:val="00CF6E4B"/>
    <w:rsid w:val="00D15D7D"/>
    <w:rsid w:val="00D338BD"/>
    <w:rsid w:val="00D354F6"/>
    <w:rsid w:val="00D3796F"/>
    <w:rsid w:val="00D440DF"/>
    <w:rsid w:val="00D56550"/>
    <w:rsid w:val="00D60003"/>
    <w:rsid w:val="00D73DA1"/>
    <w:rsid w:val="00D82A9E"/>
    <w:rsid w:val="00D840F1"/>
    <w:rsid w:val="00D86CD1"/>
    <w:rsid w:val="00DA3376"/>
    <w:rsid w:val="00DA3B5F"/>
    <w:rsid w:val="00DB2096"/>
    <w:rsid w:val="00DC09D1"/>
    <w:rsid w:val="00DC259E"/>
    <w:rsid w:val="00DE0261"/>
    <w:rsid w:val="00DE1FFB"/>
    <w:rsid w:val="00DE7996"/>
    <w:rsid w:val="00E02F31"/>
    <w:rsid w:val="00E0425B"/>
    <w:rsid w:val="00E04A12"/>
    <w:rsid w:val="00E0628D"/>
    <w:rsid w:val="00E0782A"/>
    <w:rsid w:val="00E07DE0"/>
    <w:rsid w:val="00E14DDC"/>
    <w:rsid w:val="00E1589C"/>
    <w:rsid w:val="00E16848"/>
    <w:rsid w:val="00E219F7"/>
    <w:rsid w:val="00E220CC"/>
    <w:rsid w:val="00E22597"/>
    <w:rsid w:val="00E2315D"/>
    <w:rsid w:val="00E259C9"/>
    <w:rsid w:val="00E31083"/>
    <w:rsid w:val="00E314E7"/>
    <w:rsid w:val="00E357D3"/>
    <w:rsid w:val="00E40AB0"/>
    <w:rsid w:val="00E4100F"/>
    <w:rsid w:val="00E53D16"/>
    <w:rsid w:val="00E562B4"/>
    <w:rsid w:val="00E619BE"/>
    <w:rsid w:val="00E65DAD"/>
    <w:rsid w:val="00E74C06"/>
    <w:rsid w:val="00E86792"/>
    <w:rsid w:val="00E92037"/>
    <w:rsid w:val="00E92108"/>
    <w:rsid w:val="00E94269"/>
    <w:rsid w:val="00E94B7F"/>
    <w:rsid w:val="00EA24B3"/>
    <w:rsid w:val="00EC53C7"/>
    <w:rsid w:val="00ED3E72"/>
    <w:rsid w:val="00EE2288"/>
    <w:rsid w:val="00EE4CBF"/>
    <w:rsid w:val="00EE7A25"/>
    <w:rsid w:val="00EF2057"/>
    <w:rsid w:val="00EF2E5D"/>
    <w:rsid w:val="00EF7296"/>
    <w:rsid w:val="00F0339A"/>
    <w:rsid w:val="00F05D8B"/>
    <w:rsid w:val="00F14C90"/>
    <w:rsid w:val="00F215C7"/>
    <w:rsid w:val="00F23A1F"/>
    <w:rsid w:val="00F2798C"/>
    <w:rsid w:val="00F304C5"/>
    <w:rsid w:val="00F30E8C"/>
    <w:rsid w:val="00F374AE"/>
    <w:rsid w:val="00F51CC6"/>
    <w:rsid w:val="00F56899"/>
    <w:rsid w:val="00F65A10"/>
    <w:rsid w:val="00F71E51"/>
    <w:rsid w:val="00F759F4"/>
    <w:rsid w:val="00F76153"/>
    <w:rsid w:val="00F76BB8"/>
    <w:rsid w:val="00F77FC0"/>
    <w:rsid w:val="00F85FF5"/>
    <w:rsid w:val="00F96F34"/>
    <w:rsid w:val="00FA6627"/>
    <w:rsid w:val="00FB1BAF"/>
    <w:rsid w:val="00FC5696"/>
    <w:rsid w:val="00FD71FA"/>
    <w:rsid w:val="00FE00CC"/>
    <w:rsid w:val="00FF136E"/>
    <w:rsid w:val="00FF4375"/>
    <w:rsid w:val="00FF6E0F"/>
    <w:rsid w:val="5B9442FD"/>
    <w:rsid w:val="5CB37833"/>
    <w:rsid w:val="66D40A0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paragraph" w:styleId="2">
    <w:name w:val="heading 1"/>
    <w:basedOn w:val="1"/>
    <w:next w:val="1"/>
    <w:link w:val="37"/>
    <w:qFormat/>
    <w:locked/>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9"/>
    <w:uiPriority w:val="99"/>
    <w:pPr>
      <w:ind w:firstLine="560" w:firstLineChars="200"/>
    </w:pPr>
    <w:rPr>
      <w:rFonts w:ascii="Times New Roman" w:eastAsia="宋体" w:cs="Times New Roman"/>
      <w:sz w:val="28"/>
      <w:szCs w:val="28"/>
    </w:rPr>
  </w:style>
  <w:style w:type="paragraph" w:styleId="4">
    <w:name w:val="Date"/>
    <w:basedOn w:val="1"/>
    <w:next w:val="1"/>
    <w:link w:val="18"/>
    <w:qFormat/>
    <w:uiPriority w:val="99"/>
    <w:pPr>
      <w:ind w:left="100" w:leftChars="2500"/>
    </w:pPr>
  </w:style>
  <w:style w:type="paragraph" w:styleId="5">
    <w:name w:val="Balloon Text"/>
    <w:basedOn w:val="1"/>
    <w:link w:val="21"/>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locked/>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页脚 Char"/>
    <w:basedOn w:val="11"/>
    <w:link w:val="6"/>
    <w:qFormat/>
    <w:locked/>
    <w:uiPriority w:val="99"/>
    <w:rPr>
      <w:rFonts w:ascii="仿宋_GB2312" w:eastAsia="仿宋_GB2312" w:cs="仿宋_GB2312"/>
      <w:sz w:val="18"/>
      <w:szCs w:val="18"/>
    </w:rPr>
  </w:style>
  <w:style w:type="paragraph" w:customStyle="1" w:styleId="16">
    <w:name w:val="Char"/>
    <w:basedOn w:val="1"/>
    <w:qFormat/>
    <w:uiPriority w:val="99"/>
    <w:rPr>
      <w:rFonts w:ascii="Tahoma" w:hAnsi="Tahoma" w:cs="Tahoma"/>
      <w:sz w:val="24"/>
      <w:szCs w:val="24"/>
    </w:rPr>
  </w:style>
  <w:style w:type="paragraph" w:customStyle="1" w:styleId="17">
    <w:name w:val="标题1"/>
    <w:basedOn w:val="1"/>
    <w:next w:val="1"/>
    <w:link w:val="24"/>
    <w:qFormat/>
    <w:uiPriority w:val="99"/>
    <w:pPr>
      <w:tabs>
        <w:tab w:val="left" w:pos="9193"/>
        <w:tab w:val="left" w:pos="9827"/>
      </w:tabs>
      <w:autoSpaceDE w:val="0"/>
      <w:autoSpaceDN w:val="0"/>
      <w:snapToGrid w:val="0"/>
      <w:spacing w:line="700" w:lineRule="atLeast"/>
      <w:jc w:val="center"/>
    </w:pPr>
    <w:rPr>
      <w:rFonts w:ascii="方正小标宋_GBK" w:eastAsia="方正小标宋_GBK" w:cs="Times New Roman"/>
      <w:kern w:val="0"/>
      <w:sz w:val="44"/>
      <w:szCs w:val="20"/>
    </w:rPr>
  </w:style>
  <w:style w:type="character" w:customStyle="1" w:styleId="18">
    <w:name w:val="日期 Char"/>
    <w:basedOn w:val="11"/>
    <w:link w:val="4"/>
    <w:semiHidden/>
    <w:qFormat/>
    <w:locked/>
    <w:uiPriority w:val="99"/>
    <w:rPr>
      <w:rFonts w:ascii="仿宋_GB2312" w:eastAsia="仿宋_GB2312" w:cs="仿宋_GB2312"/>
      <w:sz w:val="32"/>
      <w:szCs w:val="32"/>
    </w:rPr>
  </w:style>
  <w:style w:type="character" w:customStyle="1" w:styleId="19">
    <w:name w:val="正文文本缩进 Char"/>
    <w:basedOn w:val="11"/>
    <w:link w:val="3"/>
    <w:semiHidden/>
    <w:qFormat/>
    <w:locked/>
    <w:uiPriority w:val="99"/>
    <w:rPr>
      <w:rFonts w:ascii="仿宋_GB2312" w:eastAsia="仿宋_GB2312" w:cs="仿宋_GB2312"/>
      <w:sz w:val="32"/>
      <w:szCs w:val="32"/>
    </w:rPr>
  </w:style>
  <w:style w:type="character" w:customStyle="1" w:styleId="20">
    <w:name w:val="页眉 Char"/>
    <w:basedOn w:val="11"/>
    <w:link w:val="7"/>
    <w:qFormat/>
    <w:locked/>
    <w:uiPriority w:val="99"/>
    <w:rPr>
      <w:rFonts w:ascii="仿宋_GB2312" w:eastAsia="仿宋_GB2312" w:cs="仿宋_GB2312"/>
      <w:sz w:val="18"/>
      <w:szCs w:val="18"/>
    </w:rPr>
  </w:style>
  <w:style w:type="character" w:customStyle="1" w:styleId="21">
    <w:name w:val="批注框文本 Char"/>
    <w:basedOn w:val="11"/>
    <w:link w:val="5"/>
    <w:semiHidden/>
    <w:qFormat/>
    <w:locked/>
    <w:uiPriority w:val="99"/>
    <w:rPr>
      <w:rFonts w:ascii="仿宋_GB2312" w:eastAsia="仿宋_GB2312" w:cs="仿宋_GB2312"/>
      <w:sz w:val="2"/>
      <w:szCs w:val="2"/>
    </w:rPr>
  </w:style>
  <w:style w:type="character" w:customStyle="1" w:styleId="22">
    <w:name w:val="Char Char"/>
    <w:qFormat/>
    <w:uiPriority w:val="99"/>
    <w:rPr>
      <w:rFonts w:eastAsia="宋体"/>
      <w:kern w:val="2"/>
      <w:sz w:val="18"/>
      <w:lang w:val="en-US" w:eastAsia="zh-CN"/>
    </w:rPr>
  </w:style>
  <w:style w:type="character" w:customStyle="1" w:styleId="23">
    <w:name w:val="Char Char1"/>
    <w:qFormat/>
    <w:uiPriority w:val="99"/>
    <w:rPr>
      <w:rFonts w:eastAsia="宋体"/>
      <w:kern w:val="2"/>
      <w:sz w:val="18"/>
      <w:lang w:val="en-US" w:eastAsia="zh-CN"/>
    </w:rPr>
  </w:style>
  <w:style w:type="character" w:customStyle="1" w:styleId="24">
    <w:name w:val="标题1 Char"/>
    <w:link w:val="17"/>
    <w:qFormat/>
    <w:locked/>
    <w:uiPriority w:val="99"/>
    <w:rPr>
      <w:rFonts w:ascii="方正小标宋_GBK" w:eastAsia="方正小标宋_GBK"/>
      <w:kern w:val="0"/>
      <w:sz w:val="44"/>
    </w:rPr>
  </w:style>
  <w:style w:type="character" w:customStyle="1" w:styleId="25">
    <w:name w:val="标题2 Char"/>
    <w:link w:val="26"/>
    <w:qFormat/>
    <w:locked/>
    <w:uiPriority w:val="99"/>
    <w:rPr>
      <w:rFonts w:eastAsia="方正楷体_GBK"/>
      <w:snapToGrid w:val="0"/>
      <w:sz w:val="32"/>
    </w:rPr>
  </w:style>
  <w:style w:type="paragraph" w:customStyle="1" w:styleId="26">
    <w:name w:val="标题2"/>
    <w:basedOn w:val="1"/>
    <w:next w:val="1"/>
    <w:link w:val="25"/>
    <w:qFormat/>
    <w:uiPriority w:val="99"/>
    <w:pPr>
      <w:autoSpaceDE w:val="0"/>
      <w:autoSpaceDN w:val="0"/>
      <w:snapToGrid w:val="0"/>
      <w:spacing w:line="590" w:lineRule="atLeast"/>
      <w:jc w:val="center"/>
    </w:pPr>
    <w:rPr>
      <w:rFonts w:ascii="Times New Roman" w:eastAsia="方正楷体_GBK" w:cs="Times New Roman"/>
      <w:kern w:val="0"/>
      <w:szCs w:val="20"/>
    </w:rPr>
  </w:style>
  <w:style w:type="character" w:customStyle="1" w:styleId="27">
    <w:name w:val="三级标题 Char"/>
    <w:link w:val="28"/>
    <w:qFormat/>
    <w:locked/>
    <w:uiPriority w:val="99"/>
    <w:rPr>
      <w:rFonts w:eastAsia="方正仿宋_GBK"/>
      <w:b/>
      <w:sz w:val="32"/>
    </w:rPr>
  </w:style>
  <w:style w:type="paragraph" w:customStyle="1" w:styleId="28">
    <w:name w:val="三级标题"/>
    <w:basedOn w:val="1"/>
    <w:link w:val="27"/>
    <w:qFormat/>
    <w:uiPriority w:val="99"/>
    <w:pPr>
      <w:spacing w:before="50" w:after="50" w:line="360" w:lineRule="auto"/>
      <w:ind w:firstLine="643" w:firstLineChars="200"/>
      <w:outlineLvl w:val="2"/>
    </w:pPr>
    <w:rPr>
      <w:rFonts w:ascii="Times New Roman" w:eastAsia="方正仿宋_GBK" w:cs="Times New Roman"/>
      <w:b/>
      <w:kern w:val="0"/>
      <w:szCs w:val="20"/>
    </w:rPr>
  </w:style>
  <w:style w:type="character" w:customStyle="1" w:styleId="29">
    <w:name w:val="一级标题 Char"/>
    <w:link w:val="30"/>
    <w:qFormat/>
    <w:locked/>
    <w:uiPriority w:val="99"/>
    <w:rPr>
      <w:rFonts w:eastAsia="方正黑体_GBK"/>
      <w:sz w:val="32"/>
    </w:rPr>
  </w:style>
  <w:style w:type="paragraph" w:customStyle="1" w:styleId="30">
    <w:name w:val="一级标题"/>
    <w:basedOn w:val="1"/>
    <w:link w:val="29"/>
    <w:qFormat/>
    <w:uiPriority w:val="99"/>
    <w:pPr>
      <w:spacing w:beforeLines="100" w:afterLines="100"/>
      <w:outlineLvl w:val="0"/>
    </w:pPr>
    <w:rPr>
      <w:rFonts w:ascii="Times New Roman" w:eastAsia="方正黑体_GBK" w:cs="Times New Roman"/>
      <w:kern w:val="0"/>
      <w:szCs w:val="20"/>
    </w:rPr>
  </w:style>
  <w:style w:type="paragraph" w:styleId="31">
    <w:name w:val="List Paragraph"/>
    <w:basedOn w:val="1"/>
    <w:qFormat/>
    <w:uiPriority w:val="34"/>
    <w:pPr>
      <w:ind w:firstLine="420" w:firstLineChars="200"/>
    </w:pPr>
    <w:rPr>
      <w:rFonts w:ascii="Times New Roman" w:eastAsia="宋体" w:cs="Times New Roman"/>
      <w:sz w:val="28"/>
      <w:szCs w:val="28"/>
    </w:rPr>
  </w:style>
  <w:style w:type="paragraph" w:customStyle="1" w:styleId="32">
    <w:name w:val="Default"/>
    <w:qFormat/>
    <w:uiPriority w:val="99"/>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paragraph" w:customStyle="1" w:styleId="33">
    <w:name w:val="2018年度计划正文标题"/>
    <w:basedOn w:val="1"/>
    <w:qFormat/>
    <w:uiPriority w:val="99"/>
    <w:pPr>
      <w:ind w:firstLine="630"/>
    </w:pPr>
  </w:style>
  <w:style w:type="paragraph" w:customStyle="1" w:styleId="34">
    <w:name w:val="附件栏"/>
    <w:basedOn w:val="1"/>
    <w:qFormat/>
    <w:uiPriority w:val="99"/>
  </w:style>
  <w:style w:type="paragraph" w:customStyle="1" w:styleId="35">
    <w:name w:val="正文文本1"/>
    <w:basedOn w:val="1"/>
    <w:qFormat/>
    <w:uiPriority w:val="0"/>
    <w:pPr>
      <w:spacing w:line="420" w:lineRule="auto"/>
      <w:ind w:firstLine="400"/>
    </w:pPr>
    <w:rPr>
      <w:rFonts w:ascii="宋体" w:hAnsi="宋体" w:eastAsia="宋体" w:cs="宋体"/>
      <w:sz w:val="17"/>
      <w:szCs w:val="17"/>
      <w:lang w:val="zh-CN" w:bidi="zh-CN"/>
    </w:rPr>
  </w:style>
  <w:style w:type="paragraph" w:customStyle="1" w:styleId="36">
    <w:name w:val="Char1 Char Char Char Char Char Char"/>
    <w:basedOn w:val="1"/>
    <w:qFormat/>
    <w:uiPriority w:val="0"/>
    <w:rPr>
      <w:rFonts w:ascii="Times New Roman" w:eastAsia="宋体" w:cs="Times New Roman"/>
      <w:sz w:val="21"/>
      <w:szCs w:val="24"/>
    </w:rPr>
  </w:style>
  <w:style w:type="character" w:customStyle="1" w:styleId="37">
    <w:name w:val="标题 1 Char"/>
    <w:basedOn w:val="11"/>
    <w:link w:val="2"/>
    <w:qFormat/>
    <w:uiPriority w:val="9"/>
    <w:rPr>
      <w:rFonts w:ascii="Calibri" w:hAnsi="Calibri"/>
      <w:b/>
      <w:bCs/>
      <w:kern w:val="44"/>
      <w:sz w:val="44"/>
      <w:szCs w:val="44"/>
    </w:rPr>
  </w:style>
  <w:style w:type="paragraph" w:customStyle="1" w:styleId="38">
    <w:name w:val="Char Char Char Char"/>
    <w:basedOn w:val="1"/>
    <w:qFormat/>
    <w:uiPriority w:val="0"/>
    <w:rPr>
      <w:rFonts w:ascii="Times New Roman" w:eastAsia="宋体" w:cs="Times New Roman"/>
      <w:sz w:val="21"/>
      <w:szCs w:val="22"/>
    </w:rPr>
  </w:style>
  <w:style w:type="paragraph" w:customStyle="1" w:styleId="39">
    <w:name w:val="红线"/>
    <w:basedOn w:val="2"/>
    <w:qFormat/>
    <w:uiPriority w:val="0"/>
    <w:pPr>
      <w:keepNext w:val="0"/>
      <w:keepLines w:val="0"/>
      <w:autoSpaceDE w:val="0"/>
      <w:autoSpaceDN w:val="0"/>
      <w:adjustRightInd w:val="0"/>
      <w:spacing w:before="0" w:after="851" w:line="227" w:lineRule="atLeast"/>
      <w:ind w:right="-142"/>
      <w:jc w:val="center"/>
      <w:outlineLvl w:val="9"/>
    </w:pPr>
    <w:rPr>
      <w:rFonts w:ascii="宋体" w:hAnsi="Times New Roman"/>
      <w:bCs w:val="0"/>
      <w:snapToGrid w:val="0"/>
      <w:kern w:val="0"/>
      <w:sz w:val="10"/>
      <w:szCs w:val="20"/>
    </w:rPr>
  </w:style>
  <w:style w:type="paragraph" w:customStyle="1" w:styleId="40">
    <w:name w:val="文头"/>
    <w:basedOn w:val="1"/>
    <w:qFormat/>
    <w:uiPriority w:val="0"/>
    <w:pPr>
      <w:tabs>
        <w:tab w:val="left" w:pos="6663"/>
      </w:tabs>
      <w:autoSpaceDE w:val="0"/>
      <w:autoSpaceDN w:val="0"/>
      <w:snapToGrid w:val="0"/>
      <w:spacing w:after="800" w:line="1500" w:lineRule="atLeast"/>
      <w:ind w:left="511" w:right="227" w:hanging="284"/>
      <w:jc w:val="distribute"/>
    </w:pPr>
    <w:rPr>
      <w:rFonts w:ascii="汉鼎简大宋" w:eastAsia="汉鼎简大宋" w:cs="Times New Roman"/>
      <w:b/>
      <w:snapToGrid w:val="0"/>
      <w:color w:val="FF0000"/>
      <w:w w:val="62"/>
      <w:kern w:val="0"/>
      <w:sz w:val="140"/>
      <w:szCs w:val="20"/>
    </w:rPr>
  </w:style>
  <w:style w:type="paragraph" w:customStyle="1" w:styleId="41">
    <w:name w:val="普通(网站)1"/>
    <w:basedOn w:val="1"/>
    <w:qFormat/>
    <w:uiPriority w:val="99"/>
    <w:pPr>
      <w:spacing w:beforeAutospacing="1" w:afterAutospacing="1"/>
      <w:jc w:val="left"/>
    </w:pPr>
    <w:rPr>
      <w:rFonts w:ascii="Calibri" w:hAnsi="Calibri" w:eastAsia="宋体" w:cs="Calibri"/>
      <w:kern w:val="0"/>
      <w:sz w:val="24"/>
      <w:szCs w:val="24"/>
    </w:rPr>
  </w:style>
  <w:style w:type="character" w:customStyle="1" w:styleId="42">
    <w:name w:val="NormalCharacter"/>
    <w:qFormat/>
    <w:uiPriority w:val="0"/>
  </w:style>
  <w:style w:type="paragraph" w:customStyle="1" w:styleId="43">
    <w:name w:val="标准文字"/>
    <w:basedOn w:val="1"/>
    <w:qFormat/>
    <w:uiPriority w:val="0"/>
    <w:pPr>
      <w:overflowPunct w:val="0"/>
      <w:spacing w:line="360" w:lineRule="auto"/>
      <w:ind w:firstLine="640" w:firstLineChars="200"/>
    </w:pPr>
    <w:rPr>
      <w:rFonts w:ascii="Times New Roman" w:cs="Times New Roman"/>
    </w:rPr>
  </w:style>
  <w:style w:type="paragraph" w:customStyle="1" w:styleId="44">
    <w:name w:val="列表段落1"/>
    <w:basedOn w:val="1"/>
    <w:qFormat/>
    <w:uiPriority w:val="34"/>
    <w:pPr>
      <w:ind w:firstLine="420" w:firstLineChars="200"/>
    </w:pPr>
    <w:rPr>
      <w:rFonts w:ascii="Times New Roman" w:eastAsia="宋体" w:cs="Times New Roman"/>
      <w:sz w:val="21"/>
      <w:szCs w:val="20"/>
    </w:rPr>
  </w:style>
  <w:style w:type="paragraph" w:customStyle="1" w:styleId="45">
    <w:name w:val="p16"/>
    <w:basedOn w:val="1"/>
    <w:qFormat/>
    <w:uiPriority w:val="99"/>
    <w:pPr>
      <w:widowControl/>
    </w:pPr>
    <w:rPr>
      <w:rFonts w:ascii="Times New Roman" w:eastAsia="宋体" w:cs="Times New Roman"/>
      <w:kern w:val="0"/>
      <w:sz w:val="21"/>
      <w:szCs w:val="21"/>
    </w:rPr>
  </w:style>
  <w:style w:type="paragraph" w:customStyle="1" w:styleId="46">
    <w:name w:val="p15"/>
    <w:basedOn w:val="1"/>
    <w:qFormat/>
    <w:uiPriority w:val="0"/>
    <w:pPr>
      <w:widowControl/>
    </w:pPr>
    <w:rPr>
      <w:rFonts w:ascii="Times New Roman" w:eastAsia="宋体" w:cs="Times New Roman"/>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569</Words>
  <Characters>3247</Characters>
  <Lines>27</Lines>
  <Paragraphs>7</Paragraphs>
  <TotalTime>45</TotalTime>
  <ScaleCrop>false</ScaleCrop>
  <LinksUpToDate>false</LinksUpToDate>
  <CharactersWithSpaces>3809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2021-08-09T05:58:00Z</dcterms:created>
  <dc:creator>Windows 用户</dc:creator>
  <cp:lastModifiedBy>罗吉男</cp:lastModifiedBy>
  <cp:lastPrinted>2020-05-13T06:28:00Z</cp:lastPrinted>
  <dcterms:modified xsi:type="dcterms:W3CDTF">2021-11-20T01:20:04Z</dcterms:modified>
  <dc:title>南通经济技术开发区城市长效管理考核办法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2B3B35E152724BF1AE96B37134FF3E10</vt:lpwstr>
  </property>
</Properties>
</file>